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mc:Ignorable="w14 wp14">
  <w:body>
    <w:p>
      <w:pPr>
        <w:numPr>
          <w:ilvl w:val="0"/>
          <w:numId w:val="0"/>
        </w:numPr>
        <w:jc w:val="center"/>
        <w:spacing w:lineRule="auto" w:line="240" w:before="0" w:after="0"/>
        <w:ind w:right="0" w:firstLine="0"/>
        <w:rPr>
          <w:color w:val="auto"/>
          <w:position w:val="0"/>
          <w:sz w:val="44"/>
          <w:szCs w:val="44"/>
          <w:rFonts w:ascii="Times New Roman" w:eastAsia="Times New Roman" w:hAnsi="Times New Roman" w:hint="default"/>
        </w:rPr>
        <w:autoSpaceDE w:val="1"/>
        <w:autoSpaceDN w:val="1"/>
      </w:pPr>
      <w:r>
        <w:rPr>
          <w:color w:val="auto"/>
          <w:position w:val="0"/>
          <w:sz w:val="44"/>
          <w:szCs w:val="44"/>
          <w:rFonts w:ascii="Times New Roman" w:eastAsia="Calibri" w:hAnsi="Calibri" w:hint="default"/>
        </w:rPr>
        <w:t>安平县统计局</w:t>
      </w:r>
      <w:r>
        <w:rPr>
          <w:color w:val="auto"/>
          <w:position w:val="0"/>
          <w:sz w:val="44"/>
          <w:szCs w:val="44"/>
          <w:rFonts w:ascii="Times New Roman" w:eastAsia="Times New Roman" w:hAnsi="Times New Roman" w:hint="default"/>
        </w:rPr>
        <w:t>2019</w:t>
      </w:r>
      <w:r>
        <w:rPr>
          <w:color w:val="auto"/>
          <w:position w:val="0"/>
          <w:sz w:val="44"/>
          <w:szCs w:val="44"/>
          <w:rFonts w:ascii="宋体" w:eastAsia="Calibri" w:hAnsi="Calibri" w:hint="default"/>
        </w:rPr>
        <w:t>年部门预算信息公开</w:t>
      </w:r>
      <w:r>
        <w:rPr>
          <w:color w:val="auto"/>
          <w:position w:val="0"/>
          <w:sz w:val="44"/>
          <w:szCs w:val="44"/>
          <w:rFonts w:ascii="Times New Roman" w:eastAsia="Times New Roman" w:hAnsi="Times New Roman" w:hint="default"/>
        </w:rPr>
        <w:t>情况说明</w:t>
      </w:r>
    </w:p>
    <w:p>
      <w:pPr>
        <w:numPr>
          <w:ilvl w:val="0"/>
          <w:numId w:val="0"/>
        </w:numPr>
        <w:jc w:val="both"/>
        <w:spacing w:lineRule="atLeast" w:line="240" w:before="0" w:after="0"/>
        <w:ind w:right="0" w:firstLine="682"/>
        <w:rPr>
          <w:color w:val="auto"/>
          <w:position w:val="0"/>
          <w:sz w:val="32"/>
          <w:szCs w:val="32"/>
          <w:rFonts w:ascii="??" w:eastAsia="Times New Roman" w:hAnsi="Times New Roman" w:hint="default"/>
        </w:rPr>
        <w:autoSpaceDE w:val="1"/>
        <w:autoSpaceDN w:val="1"/>
      </w:pPr>
      <w:r>
        <w:rPr>
          <w:color w:val="auto"/>
          <w:position w:val="0"/>
          <w:sz w:val="32"/>
          <w:szCs w:val="32"/>
          <w:rFonts w:ascii="??" w:eastAsia="Times New Roman" w:hAnsi="Times New Roman" w:hint="default"/>
        </w:rPr>
        <w:t>按照《</w:t>
      </w:r>
      <w:r>
        <w:rPr>
          <w:color w:val="auto"/>
          <w:position w:val="0"/>
          <w:sz w:val="32"/>
          <w:szCs w:val="32"/>
          <w:rFonts w:ascii="宋体" w:eastAsia="Calibri" w:hAnsi="Calibri" w:hint="default"/>
        </w:rPr>
        <w:t>预</w:t>
      </w:r>
      <w:r>
        <w:rPr>
          <w:color w:val="auto"/>
          <w:position w:val="0"/>
          <w:sz w:val="32"/>
          <w:szCs w:val="32"/>
          <w:rFonts w:ascii="??" w:eastAsia="Times New Roman" w:hAnsi="Times New Roman" w:hint="default"/>
        </w:rPr>
        <w:t>算法》、《地方预决算公开操作规程》</w:t>
      </w:r>
      <w:r>
        <w:rPr>
          <w:color w:val="auto"/>
          <w:position w:val="0"/>
          <w:sz w:val="32"/>
          <w:szCs w:val="32"/>
          <w:rFonts w:ascii="宋体" w:eastAsia="Calibri" w:hAnsi="Calibri" w:hint="default"/>
        </w:rPr>
        <w:t>规</w:t>
      </w:r>
      <w:r>
        <w:rPr>
          <w:color w:val="auto"/>
          <w:position w:val="0"/>
          <w:sz w:val="32"/>
          <w:szCs w:val="32"/>
          <w:rFonts w:ascii="??" w:eastAsia="Times New Roman" w:hAnsi="Times New Roman" w:hint="default"/>
        </w:rPr>
        <w:t>定，现将</w:t>
      </w:r>
      <w:r>
        <w:rPr>
          <w:color w:val="auto"/>
          <w:position w:val="0"/>
          <w:sz w:val="32"/>
          <w:szCs w:val="32"/>
          <w:rFonts w:ascii="??" w:eastAsia="Calibri" w:hAnsi="Calibri" w:hint="default"/>
        </w:rPr>
        <w:t>安平县统计局</w:t>
      </w:r>
      <w:r>
        <w:rPr>
          <w:color w:val="auto"/>
          <w:position w:val="0"/>
          <w:sz w:val="32"/>
          <w:szCs w:val="32"/>
          <w:rFonts w:ascii="??" w:eastAsia="Times New Roman" w:hAnsi="Times New Roman" w:hint="default"/>
        </w:rPr>
        <w:t>2019年部门预算公</w:t>
      </w:r>
      <w:r>
        <w:rPr>
          <w:color w:val="auto"/>
          <w:position w:val="0"/>
          <w:sz w:val="32"/>
          <w:szCs w:val="32"/>
          <w:rFonts w:ascii="??" w:eastAsia="Times New Roman" w:hAnsi="Times New Roman" w:hint="default"/>
        </w:rPr>
        <w:t>开如下：</w:t>
      </w:r>
    </w:p>
    <w:p>
      <w:pPr>
        <w:numPr>
          <w:ilvl w:val="0"/>
          <w:numId w:val="0"/>
        </w:numPr>
        <w:jc w:val="both"/>
        <w:spacing w:lineRule="atLeast" w:line="240" w:before="0" w:after="0"/>
        <w:ind w:right="0" w:firstLine="363"/>
        <w:rPr>
          <w:b w:val="1"/>
          <w:color w:val="auto"/>
          <w:position w:val="0"/>
          <w:sz w:val="32"/>
          <w:szCs w:val="32"/>
          <w:rFonts w:ascii="??" w:eastAsia="??" w:hAnsi="??" w:hint="default"/>
        </w:rPr>
        <w:autoSpaceDE w:val="1"/>
        <w:autoSpaceDN w:val="1"/>
      </w:pPr>
      <w:r>
        <w:rPr>
          <w:b w:val="1"/>
          <w:color w:val="auto"/>
          <w:position w:val="0"/>
          <w:sz w:val="32"/>
          <w:szCs w:val="32"/>
          <w:rFonts w:ascii="??" w:eastAsia="Calibri" w:hAnsi="Calibri" w:hint="default"/>
        </w:rPr>
        <w:t>一、部门职责及机构设置情况</w:t>
      </w:r>
    </w:p>
    <w:p>
      <w:pPr>
        <w:numPr>
          <w:ilvl w:val="0"/>
          <w:numId w:val="0"/>
        </w:numPr>
        <w:jc w:val="both"/>
        <w:spacing w:lineRule="atLeast" w:line="240" w:before="0" w:after="0"/>
        <w:ind w:right="0" w:firstLine="522"/>
        <w:tabs>
          <w:tab w:val="left" w:pos="420"/>
          <w:tab w:val="left" w:pos="840"/>
          <w:tab w:val="left" w:pos="1260"/>
          <w:tab w:val="left" w:pos="1680"/>
          <w:tab w:val="left" w:pos="2100"/>
          <w:tab w:val="left" w:pos="2520"/>
          <w:tab w:val="left" w:pos="2940"/>
          <w:tab w:val="left" w:pos="3360"/>
          <w:tab w:val="left" w:pos="3780"/>
          <w:tab w:val="left" w:pos="4200"/>
        </w:tabs>
        <w:rPr>
          <w:color w:val="auto"/>
          <w:position w:val="0"/>
          <w:sz w:val="32"/>
          <w:szCs w:val="32"/>
          <w:rFonts w:ascii="仿宋" w:eastAsia="仿宋" w:hAnsi="仿宋" w:hint="default"/>
        </w:rPr>
        <w:autoSpaceDE w:val="0"/>
        <w:autoSpaceDN w:val="0"/>
      </w:pPr>
      <w:r>
        <w:rPr>
          <w:color w:val="auto"/>
          <w:position w:val="0"/>
          <w:sz w:val="32"/>
          <w:szCs w:val="32"/>
          <w:rFonts w:ascii="仿宋" w:eastAsia="仿宋" w:hAnsi="仿宋" w:hint="default"/>
        </w:rPr>
        <w:t>我局将继续坚持以数据质量为中心，认真组织实施各项统计调查，大力推进统计方法制度改革，不</w:t>
      </w:r>
      <w:r>
        <w:rPr>
          <w:color w:val="auto"/>
          <w:position w:val="0"/>
          <w:sz w:val="32"/>
          <w:szCs w:val="32"/>
          <w:rFonts w:ascii="仿宋" w:eastAsia="仿宋" w:hAnsi="仿宋" w:hint="default"/>
        </w:rPr>
        <w:t>断提高统计数据的准确性、科学性、及时性和权威性，为实现全区经济持续、快速、健康发展多做贡</w:t>
      </w:r>
      <w:r>
        <w:rPr>
          <w:color w:val="auto"/>
          <w:position w:val="0"/>
          <w:sz w:val="32"/>
          <w:szCs w:val="32"/>
          <w:rFonts w:ascii="仿宋" w:eastAsia="仿宋" w:hAnsi="仿宋" w:hint="default"/>
        </w:rPr>
        <w:t>献。增加城镇化发展统计、科技与文化产业统计、节能减排统计、工业聚集区统计、资源环境统计、劳</w:t>
      </w:r>
      <w:r>
        <w:rPr>
          <w:color w:val="auto"/>
          <w:position w:val="0"/>
          <w:sz w:val="32"/>
          <w:szCs w:val="32"/>
          <w:rFonts w:ascii="仿宋" w:eastAsia="仿宋" w:hAnsi="仿宋" w:hint="default"/>
        </w:rPr>
        <w:t>动力调查、民营经济统计方面的有关职责。加强对各乡镇统计委、各部门统计工作的指导和综合协调</w:t>
      </w:r>
      <w:r>
        <w:rPr>
          <w:color w:val="auto"/>
          <w:position w:val="0"/>
          <w:sz w:val="32"/>
          <w:szCs w:val="32"/>
          <w:rFonts w:ascii="仿宋" w:eastAsia="仿宋" w:hAnsi="仿宋" w:hint="default"/>
        </w:rPr>
        <w:t>职责。加强统计执法检查、统计调查项目、统计标准和统计数据发布的管理职责。</w:t>
      </w:r>
    </w:p>
    <w:p>
      <w:pPr>
        <w:numPr>
          <w:ilvl w:val="0"/>
          <w:numId w:val="0"/>
        </w:numPr>
        <w:jc w:val="both"/>
        <w:spacing w:lineRule="exact" w:line="600" w:before="0" w:after="0"/>
        <w:ind w:right="0" w:firstLine="480"/>
        <w:tabs>
          <w:tab w:val="left" w:pos="420"/>
          <w:tab w:val="left" w:pos="840"/>
          <w:tab w:val="left" w:pos="1260"/>
          <w:tab w:val="left" w:pos="1680"/>
          <w:tab w:val="left" w:pos="2100"/>
          <w:tab w:val="left" w:pos="2520"/>
          <w:tab w:val="left" w:pos="2940"/>
          <w:tab w:val="left" w:pos="3360"/>
          <w:tab w:val="left" w:pos="3780"/>
          <w:tab w:val="left" w:pos="4200"/>
        </w:tabs>
        <w:rPr>
          <w:color w:val="auto"/>
          <w:position w:val="0"/>
          <w:sz w:val="32"/>
          <w:szCs w:val="32"/>
          <w:rFonts w:ascii="仿宋" w:eastAsia="仿宋" w:hAnsi="仿宋" w:hint="default"/>
        </w:rPr>
        <w:autoSpaceDE w:val="0"/>
        <w:autoSpaceDN w:val="0"/>
      </w:pPr>
      <w:r>
        <w:rPr>
          <w:color w:val="auto"/>
          <w:position w:val="0"/>
          <w:sz w:val="32"/>
          <w:szCs w:val="32"/>
          <w:rFonts w:ascii="仿宋" w:eastAsia="仿宋" w:hAnsi="仿宋" w:hint="default"/>
        </w:rPr>
        <w:t>（</w:t>
      </w:r>
      <w:r>
        <w:rPr>
          <w:color w:val="auto"/>
          <w:position w:val="0"/>
          <w:sz w:val="32"/>
          <w:szCs w:val="32"/>
          <w:rFonts w:ascii="仿宋" w:eastAsia="仿宋" w:hAnsi="仿宋" w:hint="default"/>
        </w:rPr>
        <w:t>一</w:t>
      </w:r>
      <w:r>
        <w:rPr>
          <w:color w:val="auto"/>
          <w:position w:val="0"/>
          <w:sz w:val="32"/>
          <w:szCs w:val="32"/>
          <w:rFonts w:ascii="仿宋" w:eastAsia="仿宋" w:hAnsi="仿宋" w:hint="default"/>
        </w:rPr>
        <w:t>）拟订统计工作方面的政府规范性文件；制定全县统计改革、统计现代化建设规划、地方统计</w:t>
      </w:r>
      <w:r>
        <w:rPr>
          <w:color w:val="auto"/>
          <w:position w:val="0"/>
          <w:sz w:val="32"/>
          <w:szCs w:val="32"/>
          <w:rFonts w:ascii="仿宋" w:eastAsia="仿宋" w:hAnsi="仿宋" w:hint="default"/>
        </w:rPr>
        <w:t>调查标准、统计调查制度；监督检查统计法律、法规实施情况；指导全县统计工作。</w:t>
      </w:r>
    </w:p>
    <w:p>
      <w:pPr>
        <w:numPr>
          <w:ilvl w:val="0"/>
          <w:numId w:val="0"/>
        </w:numPr>
        <w:jc w:val="both"/>
        <w:spacing w:lineRule="exact" w:line="600" w:before="0" w:after="0"/>
        <w:ind w:right="0" w:firstLine="420"/>
        <w:tabs>
          <w:tab w:val="left" w:pos="420"/>
          <w:tab w:val="left" w:pos="840"/>
          <w:tab w:val="left" w:pos="1260"/>
          <w:tab w:val="left" w:pos="1680"/>
          <w:tab w:val="left" w:pos="2100"/>
          <w:tab w:val="left" w:pos="2520"/>
          <w:tab w:val="left" w:pos="2940"/>
          <w:tab w:val="left" w:pos="3360"/>
          <w:tab w:val="left" w:pos="3780"/>
          <w:tab w:val="left" w:pos="4200"/>
        </w:tabs>
        <w:rPr>
          <w:color w:val="auto"/>
          <w:position w:val="0"/>
          <w:sz w:val="32"/>
          <w:szCs w:val="32"/>
          <w:rFonts w:ascii="仿宋" w:eastAsia="仿宋" w:hAnsi="仿宋" w:hint="default"/>
        </w:rPr>
        <w:autoSpaceDE w:val="0"/>
        <w:autoSpaceDN w:val="0"/>
      </w:pPr>
      <w:r>
        <w:rPr>
          <w:color w:val="auto"/>
          <w:position w:val="0"/>
          <w:sz w:val="32"/>
          <w:szCs w:val="32"/>
          <w:rFonts w:ascii="仿宋" w:eastAsia="仿宋" w:hAnsi="仿宋" w:hint="default"/>
        </w:rPr>
        <w:t>（</w:t>
      </w:r>
      <w:r>
        <w:rPr>
          <w:color w:val="auto"/>
          <w:position w:val="0"/>
          <w:sz w:val="32"/>
          <w:szCs w:val="32"/>
          <w:rFonts w:ascii="仿宋" w:eastAsia="仿宋" w:hAnsi="仿宋" w:hint="default"/>
        </w:rPr>
        <w:t>二</w:t>
      </w:r>
      <w:r>
        <w:rPr>
          <w:color w:val="auto"/>
          <w:position w:val="0"/>
          <w:sz w:val="32"/>
          <w:szCs w:val="32"/>
          <w:rFonts w:ascii="仿宋" w:eastAsia="仿宋" w:hAnsi="仿宋" w:hint="default"/>
        </w:rPr>
        <w:t>）贯彻执行国家和省市国民经济核算制度，组织实施全县国民经济核算和投入产出调查；核算</w:t>
      </w:r>
      <w:r>
        <w:rPr>
          <w:color w:val="auto"/>
          <w:position w:val="0"/>
          <w:sz w:val="32"/>
          <w:szCs w:val="32"/>
          <w:rFonts w:ascii="仿宋" w:eastAsia="仿宋" w:hAnsi="仿宋" w:hint="default"/>
        </w:rPr>
        <w:t>全县生产总值；负责管理全县国民经济核算工作。整理、测算和提供国民经济核算资料；统一组织、管</w:t>
      </w:r>
      <w:r>
        <w:rPr>
          <w:color w:val="auto"/>
          <w:position w:val="0"/>
          <w:sz w:val="32"/>
          <w:szCs w:val="32"/>
          <w:rFonts w:ascii="仿宋" w:eastAsia="仿宋" w:hAnsi="仿宋" w:hint="default"/>
        </w:rPr>
        <w:t>理全县统计系统报表工作。</w:t>
      </w:r>
    </w:p>
    <w:p>
      <w:pPr>
        <w:numPr>
          <w:ilvl w:val="0"/>
          <w:numId w:val="0"/>
        </w:numPr>
        <w:jc w:val="both"/>
        <w:spacing w:lineRule="exact" w:line="600" w:before="0" w:after="0"/>
        <w:ind w:right="0" w:firstLine="420"/>
        <w:tabs>
          <w:tab w:val="left" w:pos="420"/>
          <w:tab w:val="left" w:pos="840"/>
          <w:tab w:val="left" w:pos="1260"/>
          <w:tab w:val="left" w:pos="1680"/>
          <w:tab w:val="left" w:pos="2100"/>
          <w:tab w:val="left" w:pos="2520"/>
          <w:tab w:val="left" w:pos="2940"/>
          <w:tab w:val="left" w:pos="3360"/>
          <w:tab w:val="left" w:pos="3780"/>
          <w:tab w:val="left" w:pos="4200"/>
        </w:tabs>
        <w:rPr>
          <w:color w:val="auto"/>
          <w:position w:val="0"/>
          <w:sz w:val="32"/>
          <w:szCs w:val="32"/>
          <w:rFonts w:ascii="仿宋" w:eastAsia="仿宋" w:hAnsi="仿宋" w:hint="default"/>
        </w:rPr>
        <w:autoSpaceDE w:val="0"/>
        <w:autoSpaceDN w:val="0"/>
      </w:pPr>
      <w:r>
        <w:rPr>
          <w:color w:val="auto"/>
          <w:position w:val="0"/>
          <w:sz w:val="32"/>
          <w:szCs w:val="32"/>
          <w:rFonts w:ascii="仿宋" w:eastAsia="仿宋" w:hAnsi="仿宋" w:hint="default"/>
        </w:rPr>
        <w:t>（</w:t>
      </w:r>
      <w:r>
        <w:rPr>
          <w:color w:val="auto"/>
          <w:position w:val="0"/>
          <w:sz w:val="32"/>
          <w:szCs w:val="32"/>
          <w:rFonts w:ascii="仿宋" w:eastAsia="仿宋" w:hAnsi="仿宋" w:hint="default"/>
        </w:rPr>
        <w:t>三</w:t>
      </w:r>
      <w:r>
        <w:rPr>
          <w:color w:val="auto"/>
          <w:position w:val="0"/>
          <w:sz w:val="32"/>
          <w:szCs w:val="32"/>
          <w:rFonts w:ascii="仿宋" w:eastAsia="仿宋" w:hAnsi="仿宋" w:hint="default"/>
        </w:rPr>
        <w:t>）组织完成国家、省市部署的国情国力普查及县安排重要调查任务；研究提出重大县情县力普</w:t>
      </w:r>
      <w:r>
        <w:rPr>
          <w:color w:val="auto"/>
          <w:position w:val="0"/>
          <w:sz w:val="32"/>
          <w:szCs w:val="32"/>
          <w:rFonts w:ascii="仿宋" w:eastAsia="仿宋" w:hAnsi="仿宋" w:hint="default"/>
        </w:rPr>
        <w:t>查和抽样调查计划并组织实施，统一组织、统一协调全县各部门、各乡镇社会经济调查，汇总、整理</w:t>
      </w:r>
      <w:r>
        <w:rPr>
          <w:color w:val="auto"/>
          <w:position w:val="0"/>
          <w:sz w:val="32"/>
          <w:szCs w:val="32"/>
          <w:rFonts w:ascii="仿宋" w:eastAsia="仿宋" w:hAnsi="仿宋" w:hint="default"/>
        </w:rPr>
        <w:t>和提供有关县情县力方面的统计数据。</w:t>
      </w:r>
    </w:p>
    <w:p>
      <w:pPr>
        <w:numPr>
          <w:ilvl w:val="0"/>
          <w:numId w:val="0"/>
        </w:numPr>
        <w:jc w:val="both"/>
        <w:spacing w:lineRule="exact" w:line="600" w:before="0" w:after="0"/>
        <w:ind w:right="0" w:firstLine="420"/>
        <w:tabs>
          <w:tab w:val="left" w:pos="420"/>
          <w:tab w:val="left" w:pos="840"/>
          <w:tab w:val="left" w:pos="1260"/>
          <w:tab w:val="left" w:pos="1680"/>
          <w:tab w:val="left" w:pos="2100"/>
          <w:tab w:val="left" w:pos="2520"/>
          <w:tab w:val="left" w:pos="2940"/>
          <w:tab w:val="left" w:pos="3360"/>
          <w:tab w:val="left" w:pos="3780"/>
          <w:tab w:val="left" w:pos="4200"/>
        </w:tabs>
        <w:rPr>
          <w:color w:val="auto"/>
          <w:position w:val="0"/>
          <w:sz w:val="32"/>
          <w:szCs w:val="32"/>
          <w:rFonts w:ascii="仿宋" w:eastAsia="仿宋" w:hAnsi="仿宋" w:hint="default"/>
        </w:rPr>
        <w:autoSpaceDE w:val="0"/>
        <w:autoSpaceDN w:val="0"/>
      </w:pPr>
      <w:r>
        <w:rPr>
          <w:color w:val="auto"/>
          <w:position w:val="0"/>
          <w:sz w:val="32"/>
          <w:szCs w:val="32"/>
          <w:rFonts w:ascii="仿宋" w:eastAsia="仿宋" w:hAnsi="仿宋" w:hint="default"/>
        </w:rPr>
        <w:t>（</w:t>
      </w:r>
      <w:r>
        <w:rPr>
          <w:color w:val="auto"/>
          <w:position w:val="0"/>
          <w:sz w:val="32"/>
          <w:szCs w:val="32"/>
          <w:rFonts w:ascii="仿宋" w:eastAsia="仿宋" w:hAnsi="仿宋" w:hint="default"/>
        </w:rPr>
        <w:t>四</w:t>
      </w:r>
      <w:r>
        <w:rPr>
          <w:color w:val="auto"/>
          <w:position w:val="0"/>
          <w:sz w:val="32"/>
          <w:szCs w:val="32"/>
          <w:rFonts w:ascii="仿宋" w:eastAsia="仿宋" w:hAnsi="仿宋" w:hint="default"/>
        </w:rPr>
        <w:t>）组织实施农林牧渔业、农业产值、农产品产量、农业产业化、工业、能源、社会、人口、工</w:t>
      </w:r>
      <w:r>
        <w:rPr>
          <w:color w:val="auto"/>
          <w:position w:val="0"/>
          <w:sz w:val="32"/>
          <w:szCs w:val="32"/>
          <w:rFonts w:ascii="仿宋" w:eastAsia="仿宋" w:hAnsi="仿宋" w:hint="default"/>
        </w:rPr>
        <w:t>资、科技、消费、价格、城镇劳动力、城镇就业、建筑业、固定资产投资、房地产开发、高新技术产</w:t>
      </w:r>
      <w:r>
        <w:rPr>
          <w:color w:val="auto"/>
          <w:position w:val="0"/>
          <w:sz w:val="32"/>
          <w:szCs w:val="32"/>
          <w:rFonts w:ascii="仿宋" w:eastAsia="仿宋" w:hAnsi="仿宋" w:hint="default"/>
        </w:rPr>
        <w:t>业、工业聚集区主要经济指标、批发和零售业、住宿和餐饮业、运输邮电业、其他服务业、服务业个</w:t>
      </w:r>
      <w:r>
        <w:rPr>
          <w:color w:val="auto"/>
          <w:position w:val="0"/>
          <w:sz w:val="32"/>
          <w:szCs w:val="32"/>
          <w:rFonts w:ascii="仿宋" w:eastAsia="仿宋" w:hAnsi="仿宋" w:hint="default"/>
        </w:rPr>
        <w:t>体户、民营经济、成品油流通、城市社会经济基本情况、县（市）社会经济基本情况、乡村社会经济、</w:t>
      </w:r>
      <w:r>
        <w:rPr>
          <w:color w:val="auto"/>
          <w:position w:val="0"/>
          <w:sz w:val="32"/>
          <w:szCs w:val="32"/>
          <w:rFonts w:ascii="仿宋" w:eastAsia="仿宋" w:hAnsi="仿宋" w:hint="default"/>
        </w:rPr>
        <w:t>资源环境、服务业财务、规模以下工业抽样、企业（集团）、城镇和农村住户、经济社会重点问题等</w:t>
      </w:r>
      <w:r>
        <w:rPr>
          <w:color w:val="auto"/>
          <w:position w:val="0"/>
          <w:sz w:val="32"/>
          <w:szCs w:val="32"/>
          <w:rFonts w:ascii="仿宋" w:eastAsia="仿宋" w:hAnsi="仿宋" w:hint="default"/>
        </w:rPr>
        <w:t>统计调查，收集、汇总、整理和提供统计数据。</w:t>
      </w:r>
    </w:p>
    <w:p>
      <w:pPr>
        <w:numPr>
          <w:ilvl w:val="0"/>
          <w:numId w:val="0"/>
        </w:numPr>
        <w:jc w:val="both"/>
        <w:spacing w:lineRule="exact" w:line="600" w:before="0" w:after="0"/>
        <w:ind w:right="0" w:firstLine="420"/>
        <w:tabs>
          <w:tab w:val="left" w:pos="420"/>
          <w:tab w:val="left" w:pos="840"/>
          <w:tab w:val="left" w:pos="1260"/>
          <w:tab w:val="left" w:pos="1680"/>
          <w:tab w:val="left" w:pos="2100"/>
          <w:tab w:val="left" w:pos="2520"/>
          <w:tab w:val="left" w:pos="2940"/>
          <w:tab w:val="left" w:pos="3360"/>
          <w:tab w:val="left" w:pos="3780"/>
          <w:tab w:val="left" w:pos="4200"/>
        </w:tabs>
        <w:rPr>
          <w:color w:val="auto"/>
          <w:position w:val="0"/>
          <w:sz w:val="32"/>
          <w:szCs w:val="32"/>
          <w:rFonts w:ascii="仿宋" w:eastAsia="仿宋" w:hAnsi="仿宋" w:hint="default"/>
        </w:rPr>
        <w:autoSpaceDE w:val="0"/>
        <w:autoSpaceDN w:val="0"/>
      </w:pPr>
      <w:r>
        <w:rPr>
          <w:color w:val="auto"/>
          <w:position w:val="0"/>
          <w:sz w:val="32"/>
          <w:szCs w:val="32"/>
          <w:rFonts w:ascii="仿宋" w:eastAsia="仿宋" w:hAnsi="仿宋" w:hint="default"/>
        </w:rPr>
        <w:t>（</w:t>
      </w:r>
      <w:r>
        <w:rPr>
          <w:color w:val="auto"/>
          <w:position w:val="0"/>
          <w:sz w:val="32"/>
          <w:szCs w:val="32"/>
          <w:rFonts w:ascii="仿宋" w:eastAsia="仿宋" w:hAnsi="仿宋" w:hint="default"/>
        </w:rPr>
        <w:t>五</w:t>
      </w:r>
      <w:r>
        <w:rPr>
          <w:color w:val="auto"/>
          <w:position w:val="0"/>
          <w:sz w:val="32"/>
          <w:szCs w:val="32"/>
          <w:rFonts w:ascii="仿宋" w:eastAsia="仿宋" w:hAnsi="仿宋" w:hint="default"/>
        </w:rPr>
        <w:t>）组织实施社会发展水平、县域经济发展、节能降耗、城镇化发展、全面小康及农村小康建设</w:t>
      </w:r>
      <w:r>
        <w:rPr>
          <w:color w:val="auto"/>
          <w:position w:val="0"/>
          <w:sz w:val="32"/>
          <w:szCs w:val="32"/>
          <w:rFonts w:ascii="仿宋" w:eastAsia="仿宋" w:hAnsi="仿宋" w:hint="default"/>
        </w:rPr>
        <w:t>进程、妇女儿童、企业景气等统计监测，收集、整理和提供统计数据。</w:t>
      </w:r>
    </w:p>
    <w:p>
      <w:pPr>
        <w:numPr>
          <w:ilvl w:val="0"/>
          <w:numId w:val="0"/>
        </w:numPr>
        <w:jc w:val="both"/>
        <w:spacing w:lineRule="exact" w:line="600" w:before="0" w:after="0"/>
        <w:ind w:right="0" w:firstLine="420"/>
        <w:tabs>
          <w:tab w:val="left" w:pos="420"/>
          <w:tab w:val="left" w:pos="840"/>
          <w:tab w:val="left" w:pos="1260"/>
          <w:tab w:val="left" w:pos="1680"/>
          <w:tab w:val="left" w:pos="2100"/>
          <w:tab w:val="left" w:pos="2520"/>
          <w:tab w:val="left" w:pos="2940"/>
          <w:tab w:val="left" w:pos="3360"/>
          <w:tab w:val="left" w:pos="3780"/>
          <w:tab w:val="left" w:pos="4200"/>
        </w:tabs>
        <w:rPr>
          <w:color w:val="auto"/>
          <w:position w:val="0"/>
          <w:sz w:val="32"/>
          <w:szCs w:val="32"/>
          <w:rFonts w:ascii="仿宋" w:eastAsia="仿宋" w:hAnsi="仿宋" w:hint="default"/>
        </w:rPr>
        <w:autoSpaceDE w:val="0"/>
        <w:autoSpaceDN w:val="0"/>
      </w:pPr>
      <w:r>
        <w:rPr>
          <w:color w:val="auto"/>
          <w:position w:val="0"/>
          <w:sz w:val="32"/>
          <w:szCs w:val="32"/>
          <w:rFonts w:ascii="仿宋" w:eastAsia="仿宋" w:hAnsi="仿宋" w:hint="default"/>
        </w:rPr>
        <w:t>（</w:t>
      </w:r>
      <w:r>
        <w:rPr>
          <w:color w:val="auto"/>
          <w:position w:val="0"/>
          <w:sz w:val="32"/>
          <w:szCs w:val="32"/>
          <w:rFonts w:ascii="仿宋" w:eastAsia="仿宋" w:hAnsi="仿宋" w:hint="default"/>
        </w:rPr>
        <w:t>六</w:t>
      </w:r>
      <w:r>
        <w:rPr>
          <w:color w:val="auto"/>
          <w:position w:val="0"/>
          <w:sz w:val="32"/>
          <w:szCs w:val="32"/>
          <w:rFonts w:ascii="仿宋" w:eastAsia="仿宋" w:hAnsi="仿宋" w:hint="default"/>
        </w:rPr>
        <w:t>）综合整理和提供财政、金融、个体、私营以及混合经济税收、出口、文化教育、卫生、社会</w:t>
      </w:r>
      <w:r>
        <w:rPr>
          <w:color w:val="auto"/>
          <w:position w:val="0"/>
          <w:sz w:val="32"/>
          <w:szCs w:val="32"/>
          <w:rFonts w:ascii="仿宋" w:eastAsia="仿宋" w:hAnsi="仿宋" w:hint="default"/>
        </w:rPr>
        <w:t>保障、公用事业、房屋、对外贸易、对内经济技术合作及引进内资等基本统计数据。</w:t>
      </w:r>
    </w:p>
    <w:p>
      <w:pPr>
        <w:numPr>
          <w:ilvl w:val="0"/>
          <w:numId w:val="0"/>
        </w:numPr>
        <w:jc w:val="both"/>
        <w:spacing w:lineRule="exact" w:line="600" w:before="0" w:after="0"/>
        <w:ind w:right="0" w:firstLine="420"/>
        <w:tabs>
          <w:tab w:val="left" w:pos="420"/>
          <w:tab w:val="left" w:pos="840"/>
          <w:tab w:val="left" w:pos="1260"/>
          <w:tab w:val="left" w:pos="1680"/>
          <w:tab w:val="left" w:pos="2100"/>
          <w:tab w:val="left" w:pos="2520"/>
          <w:tab w:val="left" w:pos="2940"/>
          <w:tab w:val="left" w:pos="3360"/>
          <w:tab w:val="left" w:pos="3780"/>
          <w:tab w:val="left" w:pos="4200"/>
        </w:tabs>
        <w:rPr>
          <w:color w:val="auto"/>
          <w:position w:val="0"/>
          <w:sz w:val="32"/>
          <w:szCs w:val="32"/>
          <w:rFonts w:ascii="仿宋" w:eastAsia="仿宋" w:hAnsi="仿宋" w:hint="default"/>
        </w:rPr>
        <w:autoSpaceDE w:val="0"/>
        <w:autoSpaceDN w:val="0"/>
      </w:pPr>
      <w:r>
        <w:rPr>
          <w:color w:val="auto"/>
          <w:position w:val="0"/>
          <w:sz w:val="32"/>
          <w:szCs w:val="32"/>
          <w:rFonts w:ascii="仿宋" w:eastAsia="仿宋" w:hAnsi="仿宋" w:hint="default"/>
        </w:rPr>
        <w:t>（</w:t>
      </w:r>
      <w:r>
        <w:rPr>
          <w:color w:val="auto"/>
          <w:position w:val="0"/>
          <w:sz w:val="32"/>
          <w:szCs w:val="32"/>
          <w:rFonts w:ascii="仿宋" w:eastAsia="仿宋" w:hAnsi="仿宋" w:hint="default"/>
        </w:rPr>
        <w:t>七</w:t>
      </w:r>
      <w:r>
        <w:rPr>
          <w:color w:val="auto"/>
          <w:position w:val="0"/>
          <w:sz w:val="32"/>
          <w:szCs w:val="32"/>
          <w:rFonts w:ascii="仿宋" w:eastAsia="仿宋" w:hAnsi="仿宋" w:hint="default"/>
        </w:rPr>
        <w:t>）组织各乡镇、各部门的经济、社会、科技统计调查，统一核定、管理、公布全市性基本统计</w:t>
      </w:r>
      <w:r>
        <w:rPr>
          <w:color w:val="auto"/>
          <w:position w:val="0"/>
          <w:sz w:val="32"/>
          <w:szCs w:val="32"/>
          <w:rFonts w:ascii="仿宋" w:eastAsia="仿宋" w:hAnsi="仿宋" w:hint="default"/>
        </w:rPr>
        <w:t>资料，定期发布全县国民经济和社会发展情况的统计信息，组织建立统计信息共享制度和发布制度。</w:t>
      </w:r>
    </w:p>
    <w:p>
      <w:pPr>
        <w:numPr>
          <w:ilvl w:val="0"/>
          <w:numId w:val="0"/>
        </w:numPr>
        <w:jc w:val="both"/>
        <w:spacing w:lineRule="exact" w:line="600" w:before="0" w:after="0"/>
        <w:ind w:right="0" w:firstLine="420"/>
        <w:tabs>
          <w:tab w:val="left" w:pos="420"/>
          <w:tab w:val="left" w:pos="840"/>
          <w:tab w:val="left" w:pos="1260"/>
          <w:tab w:val="left" w:pos="1680"/>
          <w:tab w:val="left" w:pos="2100"/>
          <w:tab w:val="left" w:pos="2520"/>
          <w:tab w:val="left" w:pos="2940"/>
          <w:tab w:val="left" w:pos="3360"/>
          <w:tab w:val="left" w:pos="3780"/>
          <w:tab w:val="left" w:pos="4200"/>
        </w:tabs>
        <w:rPr>
          <w:color w:val="auto"/>
          <w:position w:val="0"/>
          <w:sz w:val="32"/>
          <w:szCs w:val="32"/>
          <w:rFonts w:ascii="仿宋" w:eastAsia="仿宋" w:hAnsi="仿宋" w:hint="default"/>
        </w:rPr>
        <w:autoSpaceDE w:val="0"/>
        <w:autoSpaceDN w:val="0"/>
      </w:pPr>
      <w:r>
        <w:rPr>
          <w:color w:val="auto"/>
          <w:position w:val="0"/>
          <w:sz w:val="32"/>
          <w:szCs w:val="32"/>
          <w:rFonts w:ascii="仿宋" w:eastAsia="仿宋" w:hAnsi="仿宋" w:hint="default"/>
        </w:rPr>
        <w:t>（</w:t>
      </w:r>
      <w:r>
        <w:rPr>
          <w:color w:val="auto"/>
          <w:position w:val="0"/>
          <w:sz w:val="32"/>
          <w:szCs w:val="32"/>
          <w:rFonts w:ascii="仿宋" w:eastAsia="仿宋" w:hAnsi="仿宋" w:hint="default"/>
        </w:rPr>
        <w:t>八</w:t>
      </w:r>
      <w:r>
        <w:rPr>
          <w:color w:val="auto"/>
          <w:position w:val="0"/>
          <w:sz w:val="32"/>
          <w:szCs w:val="32"/>
          <w:rFonts w:ascii="仿宋" w:eastAsia="仿宋" w:hAnsi="仿宋" w:hint="default"/>
        </w:rPr>
        <w:t>）对国民经济、社会发展、科技进步等情况进行统计分析、统计预测和统计监督，向县委、县</w:t>
      </w:r>
      <w:r>
        <w:rPr>
          <w:color w:val="auto"/>
          <w:position w:val="0"/>
          <w:sz w:val="32"/>
          <w:szCs w:val="32"/>
          <w:rFonts w:ascii="仿宋" w:eastAsia="仿宋" w:hAnsi="仿宋" w:hint="default"/>
        </w:rPr>
        <w:t>政府及有关部门提供统计信息和咨询建议。</w:t>
      </w:r>
    </w:p>
    <w:p>
      <w:pPr>
        <w:numPr>
          <w:ilvl w:val="0"/>
          <w:numId w:val="0"/>
        </w:numPr>
        <w:jc w:val="both"/>
        <w:spacing w:lineRule="exact" w:line="600" w:before="0" w:after="0"/>
        <w:ind w:right="0" w:firstLine="420"/>
        <w:tabs>
          <w:tab w:val="left" w:pos="420"/>
          <w:tab w:val="left" w:pos="840"/>
          <w:tab w:val="left" w:pos="1260"/>
          <w:tab w:val="left" w:pos="1680"/>
          <w:tab w:val="left" w:pos="2100"/>
          <w:tab w:val="left" w:pos="2520"/>
          <w:tab w:val="left" w:pos="2940"/>
          <w:tab w:val="left" w:pos="3360"/>
          <w:tab w:val="left" w:pos="3780"/>
          <w:tab w:val="left" w:pos="4200"/>
        </w:tabs>
        <w:rPr>
          <w:color w:val="auto"/>
          <w:position w:val="0"/>
          <w:sz w:val="32"/>
          <w:szCs w:val="32"/>
          <w:rFonts w:ascii="仿宋" w:eastAsia="仿宋" w:hAnsi="仿宋" w:hint="default"/>
        </w:rPr>
        <w:autoSpaceDE w:val="0"/>
        <w:autoSpaceDN w:val="0"/>
      </w:pPr>
      <w:r>
        <w:rPr>
          <w:color w:val="auto"/>
          <w:position w:val="0"/>
          <w:sz w:val="32"/>
          <w:szCs w:val="32"/>
          <w:rFonts w:ascii="仿宋" w:eastAsia="仿宋" w:hAnsi="仿宋" w:hint="default"/>
        </w:rPr>
        <w:t>（</w:t>
      </w:r>
      <w:r>
        <w:rPr>
          <w:color w:val="auto"/>
          <w:position w:val="0"/>
          <w:sz w:val="32"/>
          <w:szCs w:val="32"/>
          <w:rFonts w:ascii="仿宋" w:eastAsia="仿宋" w:hAnsi="仿宋" w:hint="default"/>
        </w:rPr>
        <w:t>九</w:t>
      </w:r>
      <w:r>
        <w:rPr>
          <w:color w:val="auto"/>
          <w:position w:val="0"/>
          <w:sz w:val="32"/>
          <w:szCs w:val="32"/>
          <w:rFonts w:ascii="仿宋" w:eastAsia="仿宋" w:hAnsi="仿宋" w:hint="default"/>
        </w:rPr>
        <w:t>）组织管理、审批（备案）各部门、各乡镇统计调查项目、调查计划、调查方案；组织管理全</w:t>
      </w:r>
      <w:r>
        <w:rPr>
          <w:color w:val="auto"/>
          <w:position w:val="0"/>
          <w:sz w:val="32"/>
          <w:szCs w:val="32"/>
          <w:rFonts w:ascii="仿宋" w:eastAsia="仿宋" w:hAnsi="仿宋" w:hint="default"/>
        </w:rPr>
        <w:t>县统计登记工作；指导专业统计基础工作、统计基层业务和规范化建设；组织建立统计信息管理制度，</w:t>
      </w:r>
      <w:r>
        <w:rPr>
          <w:color w:val="auto"/>
          <w:position w:val="0"/>
          <w:sz w:val="32"/>
          <w:szCs w:val="32"/>
          <w:rFonts w:ascii="仿宋" w:eastAsia="仿宋" w:hAnsi="仿宋" w:hint="default"/>
        </w:rPr>
        <w:t>建立健全统计数据质量审核、监控和评估制度，开展对重要统计数据的审核、监控和评估。</w:t>
      </w:r>
    </w:p>
    <w:p>
      <w:pPr>
        <w:numPr>
          <w:ilvl w:val="0"/>
          <w:numId w:val="0"/>
        </w:numPr>
        <w:jc w:val="both"/>
        <w:spacing w:lineRule="exact" w:line="600" w:before="0" w:after="0"/>
        <w:ind w:right="0" w:firstLine="420"/>
        <w:tabs>
          <w:tab w:val="left" w:pos="420"/>
          <w:tab w:val="left" w:pos="840"/>
          <w:tab w:val="left" w:pos="1260"/>
          <w:tab w:val="left" w:pos="1680"/>
          <w:tab w:val="left" w:pos="2100"/>
          <w:tab w:val="left" w:pos="2520"/>
          <w:tab w:val="left" w:pos="2940"/>
          <w:tab w:val="left" w:pos="3360"/>
          <w:tab w:val="left" w:pos="3780"/>
          <w:tab w:val="left" w:pos="4200"/>
        </w:tabs>
        <w:rPr>
          <w:color w:val="auto"/>
          <w:position w:val="0"/>
          <w:sz w:val="32"/>
          <w:szCs w:val="32"/>
          <w:rFonts w:ascii="仿宋" w:eastAsia="仿宋" w:hAnsi="仿宋" w:hint="default"/>
        </w:rPr>
        <w:autoSpaceDE w:val="0"/>
        <w:autoSpaceDN w:val="0"/>
      </w:pPr>
      <w:r>
        <w:rPr>
          <w:color w:val="auto"/>
          <w:position w:val="0"/>
          <w:sz w:val="32"/>
          <w:szCs w:val="32"/>
          <w:rFonts w:ascii="仿宋" w:eastAsia="仿宋" w:hAnsi="仿宋" w:hint="default"/>
        </w:rPr>
        <w:t>（十）贯彻执行国家和省市统计信息库和网络的基本标准和运行规则；管理全县统计信息自动化系</w:t>
      </w:r>
      <w:r>
        <w:rPr>
          <w:color w:val="auto"/>
          <w:position w:val="0"/>
          <w:sz w:val="32"/>
          <w:szCs w:val="32"/>
          <w:rFonts w:ascii="仿宋" w:eastAsia="仿宋" w:hAnsi="仿宋" w:hint="default"/>
        </w:rPr>
        <w:t>统和统计数据库体系；管理全县统计数据库网络；指导全县统计信息化系统建设。</w:t>
      </w:r>
    </w:p>
    <w:p>
      <w:pPr>
        <w:numPr>
          <w:ilvl w:val="0"/>
          <w:numId w:val="0"/>
        </w:numPr>
        <w:jc w:val="both"/>
        <w:spacing w:lineRule="exact" w:line="600" w:before="0" w:after="0"/>
        <w:ind w:right="0" w:firstLine="420"/>
        <w:tabs>
          <w:tab w:val="left" w:pos="420"/>
          <w:tab w:val="left" w:pos="840"/>
          <w:tab w:val="left" w:pos="1260"/>
          <w:tab w:val="left" w:pos="1680"/>
          <w:tab w:val="left" w:pos="2100"/>
          <w:tab w:val="left" w:pos="2520"/>
          <w:tab w:val="left" w:pos="2940"/>
          <w:tab w:val="left" w:pos="3360"/>
          <w:tab w:val="left" w:pos="3780"/>
          <w:tab w:val="left" w:pos="4200"/>
        </w:tabs>
        <w:rPr>
          <w:color w:val="auto"/>
          <w:position w:val="0"/>
          <w:sz w:val="32"/>
          <w:szCs w:val="32"/>
          <w:rFonts w:ascii="仿宋" w:eastAsia="仿宋" w:hAnsi="仿宋" w:hint="default"/>
        </w:rPr>
        <w:autoSpaceDE w:val="0"/>
        <w:autoSpaceDN w:val="0"/>
      </w:pPr>
      <w:r>
        <w:rPr>
          <w:color w:val="auto"/>
          <w:position w:val="0"/>
          <w:sz w:val="32"/>
          <w:szCs w:val="32"/>
          <w:rFonts w:ascii="仿宋" w:eastAsia="仿宋" w:hAnsi="仿宋" w:hint="default"/>
        </w:rPr>
        <w:t>（十</w:t>
      </w:r>
      <w:r>
        <w:rPr>
          <w:color w:val="auto"/>
          <w:position w:val="0"/>
          <w:sz w:val="32"/>
          <w:szCs w:val="32"/>
          <w:rFonts w:ascii="仿宋" w:eastAsia="仿宋" w:hAnsi="仿宋" w:hint="default"/>
        </w:rPr>
        <w:t>一</w:t>
      </w:r>
      <w:r>
        <w:rPr>
          <w:color w:val="auto"/>
          <w:position w:val="0"/>
          <w:sz w:val="32"/>
          <w:szCs w:val="32"/>
          <w:rFonts w:ascii="仿宋" w:eastAsia="仿宋" w:hAnsi="仿宋" w:hint="default"/>
        </w:rPr>
        <w:t>）协助管理各乡镇统计委工作；指导全县统计专业技术队伍建设，配合省市统计局组织管理</w:t>
      </w:r>
      <w:r>
        <w:rPr>
          <w:color w:val="auto"/>
          <w:position w:val="0"/>
          <w:sz w:val="32"/>
          <w:szCs w:val="32"/>
          <w:rFonts w:ascii="仿宋" w:eastAsia="仿宋" w:hAnsi="仿宋" w:hint="default"/>
        </w:rPr>
        <w:t>统计从业资格认定和持证上岗工作，协助有关部门组织管理统计专业技术资格考试、职务评聘工作；</w:t>
      </w:r>
      <w:r>
        <w:rPr>
          <w:color w:val="auto"/>
          <w:position w:val="0"/>
          <w:sz w:val="32"/>
          <w:szCs w:val="32"/>
          <w:rFonts w:ascii="仿宋" w:eastAsia="仿宋" w:hAnsi="仿宋" w:hint="default"/>
        </w:rPr>
        <w:t>组织全县统计业务技术培训。</w:t>
      </w:r>
    </w:p>
    <w:p>
      <w:pPr>
        <w:numPr>
          <w:ilvl w:val="0"/>
          <w:numId w:val="0"/>
        </w:numPr>
        <w:jc w:val="both"/>
        <w:spacing w:lineRule="exact" w:line="600" w:before="0" w:after="0"/>
        <w:ind w:right="0" w:firstLine="420"/>
        <w:tabs>
          <w:tab w:val="left" w:pos="420"/>
          <w:tab w:val="left" w:pos="840"/>
          <w:tab w:val="left" w:pos="1260"/>
          <w:tab w:val="left" w:pos="1680"/>
          <w:tab w:val="left" w:pos="2100"/>
          <w:tab w:val="left" w:pos="2520"/>
          <w:tab w:val="left" w:pos="2940"/>
          <w:tab w:val="left" w:pos="3360"/>
          <w:tab w:val="left" w:pos="3780"/>
          <w:tab w:val="left" w:pos="4200"/>
        </w:tabs>
        <w:rPr>
          <w:color w:val="auto"/>
          <w:position w:val="0"/>
          <w:sz w:val="32"/>
          <w:szCs w:val="32"/>
          <w:rFonts w:ascii="仿宋" w:eastAsia="仿宋" w:hAnsi="仿宋" w:hint="default"/>
        </w:rPr>
        <w:autoSpaceDE w:val="0"/>
        <w:autoSpaceDN w:val="0"/>
      </w:pPr>
      <w:r>
        <w:rPr>
          <w:color w:val="auto"/>
          <w:position w:val="0"/>
          <w:sz w:val="32"/>
          <w:szCs w:val="32"/>
          <w:rFonts w:ascii="仿宋" w:eastAsia="仿宋" w:hAnsi="仿宋" w:hint="default"/>
        </w:rPr>
        <w:t>（十三）承办县政府交办的其他事项。</w:t>
      </w:r>
    </w:p>
    <w:p>
      <w:pPr>
        <w:numPr>
          <w:ilvl w:val="0"/>
          <w:numId w:val="0"/>
        </w:numPr>
        <w:jc w:val="both"/>
        <w:spacing w:lineRule="auto" w:line="240" w:before="0" w:after="0"/>
        <w:ind w:right="0" w:firstLine="0"/>
        <w:rPr>
          <w:b w:val="1"/>
          <w:color w:val="auto"/>
          <w:position w:val="0"/>
          <w:sz w:val="32"/>
          <w:szCs w:val="32"/>
          <w:rFonts w:ascii="??" w:eastAsia="Times New Roman" w:hAnsi="Times New Roman" w:hint="default"/>
        </w:rPr>
        <w:autoSpaceDE w:val="1"/>
        <w:autoSpaceDN w:val="1"/>
      </w:pPr>
      <w:r>
        <w:rPr>
          <w:b w:val="1"/>
          <w:color w:val="auto"/>
          <w:position w:val="0"/>
          <w:sz w:val="32"/>
          <w:szCs w:val="32"/>
          <w:rFonts w:ascii="??" w:eastAsia="Times New Roman" w:hAnsi="Times New Roman" w:hint="default"/>
        </w:rPr>
        <w:t>机构</w:t>
      </w:r>
      <w:r>
        <w:rPr>
          <w:b w:val="1"/>
          <w:color w:val="auto"/>
          <w:position w:val="0"/>
          <w:sz w:val="32"/>
          <w:szCs w:val="32"/>
          <w:rFonts w:ascii="宋体" w:eastAsia="Calibri" w:hAnsi="Calibri" w:hint="default"/>
        </w:rPr>
        <w:t>设</w:t>
      </w:r>
      <w:r>
        <w:rPr>
          <w:b w:val="1"/>
          <w:color w:val="auto"/>
          <w:position w:val="0"/>
          <w:sz w:val="32"/>
          <w:szCs w:val="32"/>
          <w:rFonts w:ascii="??" w:eastAsia="Times New Roman" w:hAnsi="Times New Roman" w:hint="default"/>
        </w:rPr>
        <w:t>置：</w:t>
      </w:r>
    </w:p>
    <w:p>
      <w:pPr>
        <w:numPr>
          <w:ilvl w:val="0"/>
          <w:numId w:val="0"/>
        </w:numPr>
        <w:jc w:val="center"/>
        <w:spacing w:lineRule="auto" w:line="240" w:before="0" w:after="0"/>
        <w:ind w:right="0" w:firstLine="0"/>
        <w:rPr>
          <w:color w:val="auto"/>
          <w:position w:val="0"/>
          <w:sz w:val="32"/>
          <w:szCs w:val="32"/>
          <w:rFonts w:ascii="Times New Roman" w:eastAsia="Times New Roman" w:hAnsi="Times New Roman" w:hint="default"/>
        </w:rPr>
        <w:outlineLvl w:val="0"/>
        <w:autoSpaceDE w:val="1"/>
        <w:autoSpaceDN w:val="1"/>
      </w:pPr>
      <w:r>
        <w:rPr>
          <w:color w:val="auto"/>
          <w:position w:val="0"/>
          <w:sz w:val="32"/>
          <w:szCs w:val="32"/>
          <w:rFonts w:ascii="宋体" w:eastAsia="Calibri" w:hAnsi="Calibri" w:hint="default"/>
        </w:rPr>
        <w:t>部门</w:t>
      </w:r>
      <w:r>
        <w:rPr>
          <w:color w:val="auto"/>
          <w:position w:val="0"/>
          <w:sz w:val="32"/>
          <w:szCs w:val="32"/>
          <w:rFonts w:ascii="Times New Roman" w:eastAsia="Times New Roman" w:hAnsi="Times New Roman" w:hint="default"/>
        </w:rPr>
        <w:t>机构设置情况</w:t>
      </w:r>
    </w:p>
    <w:tbl>
      <w:tblID w:val="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top w:w="0" w:type="dxa"/>
          <w:right w:w="108" w:type="dxa"/>
          <w:bottom w:w="0" w:type="dxa"/>
        </w:tblCellMar>
        <w:tblW w:w="9727" w:type="dxa"/>
        <w:jc w:val="center"/>
        <w:tblLook w:val="000000" w:firstRow="0" w:lastRow="0" w:firstColumn="0" w:lastColumn="0" w:noHBand="0" w:noVBand="0"/>
        <w:tblLayout w:type="fixed"/>
      </w:tblPr>
      <w:tblGrid>
        <w:gridCol w:w="4416"/>
        <w:gridCol w:w="1134"/>
        <w:gridCol w:w="1276"/>
        <w:gridCol w:w="2901"/>
      </w:tblGrid>
      <w:tr>
        <w:trPr>
          <w:cnfStyle w:val="000000100000" w:firstRow="0" w:lastRow="0" w:firstColumn="0" w:lastColumn="0" w:oddVBand="0" w:evenVBand="0" w:oddHBand="1" w:evenHBand="0" w:firstRowFirstColumn="0" w:firstRowLastColumn="0" w:lastRowFirstColumn="0" w:lastRowLastColumn="0"/>
          <w:trHeight w:hRule="atleast" w:val="307"/>
          <w:tblHeader/>
          <w:hidden w:val="0"/>
        </w:trPr>
        <w:tc>
          <w:tcPr>
            <w:tcW w:type="dxa" w:w="4416"/>
            <w:cnfStyle w:val="000010100000" w:firstRow="0" w:lastRow="0" w:firstColumn="0" w:lastColumn="0" w:oddVBand="1" w:evenVBand="0" w:oddHBand="1" w:evenHBand="0" w:firstRowFirstColumn="0" w:firstRowLastColumn="0" w:lastRowFirstColumn="0" w:lastRowLastColumn="0"/>
            <w:vAlign w:val="center"/>
          </w:tcPr>
          <w:p>
            <w:pPr>
              <w:numPr>
                <w:ilvl w:val="0"/>
                <w:numId w:val="0"/>
              </w:numPr>
              <w:jc w:val="center"/>
              <w:spacing w:lineRule="exact" w:line="300" w:before="0" w:after="0"/>
              <w:ind w:right="0" w:firstLine="0"/>
              <w:rPr>
                <w:b w:val="1"/>
                <w:color w:val="auto"/>
                <w:position w:val="0"/>
                <w:sz w:val="21"/>
                <w:szCs w:val="21"/>
                <w:rFonts w:ascii="Times New Roman" w:eastAsia="Times New Roman" w:hAnsi="Times New Roman" w:hint="default"/>
              </w:rPr>
              <w:autoSpaceDE w:val="1"/>
              <w:autoSpaceDN w:val="1"/>
            </w:pPr>
            <w:r>
              <w:rPr>
                <w:b w:val="1"/>
                <w:color w:val="auto"/>
                <w:position w:val="0"/>
                <w:sz w:val="21"/>
                <w:szCs w:val="21"/>
                <w:rFonts w:ascii="宋体" w:eastAsia="Calibri" w:hAnsi="Calibri" w:hint="default"/>
              </w:rPr>
              <w:t>单位名称</w:t>
            </w:r>
          </w:p>
        </w:tc>
        <w:tc>
          <w:tcPr>
            <w:tcW w:type="dxa" w:w="1134"/>
            <w:cnfStyle w:val="000001100000" w:firstRow="0" w:lastRow="0" w:firstColumn="0" w:lastColumn="0" w:oddVBand="0" w:evenVBand="1" w:oddHBand="1" w:evenHBand="0" w:firstRowFirstColumn="0" w:firstRowLastColumn="0" w:lastRowFirstColumn="0" w:lastRowLastColumn="0"/>
            <w:vAlign w:val="center"/>
          </w:tcPr>
          <w:p>
            <w:pPr>
              <w:numPr>
                <w:ilvl w:val="0"/>
                <w:numId w:val="0"/>
              </w:numPr>
              <w:jc w:val="center"/>
              <w:spacing w:lineRule="exact" w:line="300" w:before="0" w:after="0"/>
              <w:ind w:right="0" w:firstLine="0"/>
              <w:rPr>
                <w:b w:val="1"/>
                <w:color w:val="auto"/>
                <w:position w:val="0"/>
                <w:sz w:val="21"/>
                <w:szCs w:val="21"/>
                <w:rFonts w:ascii="Times New Roman" w:eastAsia="Times New Roman" w:hAnsi="Times New Roman" w:hint="default"/>
              </w:rPr>
              <w:autoSpaceDE w:val="1"/>
              <w:autoSpaceDN w:val="1"/>
            </w:pPr>
            <w:r>
              <w:rPr>
                <w:b w:val="1"/>
                <w:color w:val="auto"/>
                <w:position w:val="0"/>
                <w:sz w:val="21"/>
                <w:szCs w:val="21"/>
                <w:rFonts w:ascii="宋体" w:eastAsia="Calibri" w:hAnsi="Calibri" w:hint="default"/>
              </w:rPr>
              <w:t>单位性质</w:t>
            </w:r>
          </w:p>
        </w:tc>
        <w:tc>
          <w:tcPr>
            <w:tcW w:type="dxa" w:w="1276"/>
            <w:cnfStyle w:val="000010100000" w:firstRow="0" w:lastRow="0" w:firstColumn="0" w:lastColumn="0" w:oddVBand="1" w:evenVBand="0" w:oddHBand="1" w:evenHBand="0" w:firstRowFirstColumn="0" w:firstRowLastColumn="0" w:lastRowFirstColumn="0" w:lastRowLastColumn="0"/>
            <w:vAlign w:val="center"/>
          </w:tcPr>
          <w:p>
            <w:pPr>
              <w:numPr>
                <w:ilvl w:val="0"/>
                <w:numId w:val="0"/>
              </w:numPr>
              <w:jc w:val="center"/>
              <w:spacing w:lineRule="exact" w:line="300" w:before="0" w:after="0"/>
              <w:ind w:right="0" w:firstLine="0"/>
              <w:rPr>
                <w:b w:val="1"/>
                <w:color w:val="auto"/>
                <w:position w:val="0"/>
                <w:sz w:val="21"/>
                <w:szCs w:val="21"/>
                <w:rFonts w:ascii="Times New Roman" w:eastAsia="Times New Roman" w:hAnsi="Times New Roman" w:hint="default"/>
              </w:rPr>
              <w:autoSpaceDE w:val="1"/>
              <w:autoSpaceDN w:val="1"/>
            </w:pPr>
            <w:r>
              <w:rPr>
                <w:b w:val="1"/>
                <w:color w:val="auto"/>
                <w:position w:val="0"/>
                <w:sz w:val="21"/>
                <w:szCs w:val="21"/>
                <w:rFonts w:ascii="宋体" w:eastAsia="Calibri" w:hAnsi="Calibri" w:hint="default"/>
              </w:rPr>
              <w:t>单位规格</w:t>
            </w:r>
          </w:p>
        </w:tc>
        <w:tc>
          <w:tcPr>
            <w:tcW w:type="dxa" w:w="2901"/>
            <w:cnfStyle w:val="000001100000" w:firstRow="0" w:lastRow="0" w:firstColumn="0" w:lastColumn="0" w:oddVBand="0" w:evenVBand="1" w:oddHBand="1" w:evenHBand="0" w:firstRowFirstColumn="0" w:firstRowLastColumn="0" w:lastRowFirstColumn="0" w:lastRowLastColumn="0"/>
            <w:vAlign w:val="center"/>
          </w:tcPr>
          <w:p>
            <w:pPr>
              <w:numPr>
                <w:ilvl w:val="0"/>
                <w:numId w:val="0"/>
              </w:numPr>
              <w:jc w:val="center"/>
              <w:spacing w:lineRule="exact" w:line="300" w:before="0" w:after="0"/>
              <w:ind w:right="0" w:firstLine="0"/>
              <w:rPr>
                <w:b w:val="1"/>
                <w:color w:val="auto"/>
                <w:position w:val="0"/>
                <w:sz w:val="21"/>
                <w:szCs w:val="21"/>
                <w:rFonts w:ascii="Times New Roman" w:eastAsia="Times New Roman" w:hAnsi="Times New Roman" w:hint="default"/>
              </w:rPr>
              <w:autoSpaceDE w:val="1"/>
              <w:autoSpaceDN w:val="1"/>
            </w:pPr>
            <w:r>
              <w:rPr>
                <w:b w:val="1"/>
                <w:color w:val="auto"/>
                <w:position w:val="0"/>
                <w:sz w:val="21"/>
                <w:szCs w:val="21"/>
                <w:rFonts w:ascii="宋体" w:eastAsia="Calibri" w:hAnsi="Calibri" w:hint="default"/>
              </w:rPr>
              <w:t>经费保障形式</w:t>
            </w:r>
          </w:p>
        </w:tc>
      </w:tr>
      <w:tr>
        <w:trPr>
          <w:cnfStyle w:val="000000010000" w:firstRow="0" w:lastRow="0" w:firstColumn="0" w:lastColumn="0" w:oddVBand="0" w:evenVBand="0" w:oddHBand="0" w:evenHBand="1" w:firstRowFirstColumn="0" w:firstRowLastColumn="0" w:lastRowFirstColumn="0" w:lastRowLastColumn="0"/>
          <w:trHeight w:hRule="atleast" w:val="232"/>
          <w:hidden w:val="0"/>
        </w:trPr>
        <w:tc>
          <w:tcPr>
            <w:tcW w:type="dxa" w:w="4416"/>
            <w:cnfStyle w:val="000010010000" w:firstRow="0" w:lastRow="0" w:firstColumn="0" w:lastColumn="0" w:oddVBand="1" w:evenVBand="0" w:oddHBand="0" w:evenHBand="1" w:firstRowFirstColumn="0" w:firstRowLastColumn="0" w:lastRowFirstColumn="0" w:lastRowLastColumn="0"/>
            <w:vAlign w:val="center"/>
          </w:tcPr>
          <w:p>
            <w:pPr>
              <w:numPr>
                <w:ilvl w:val="0"/>
                <w:numId w:val="0"/>
              </w:numPr>
              <w:jc w:val="left"/>
              <w:spacing w:lineRule="exact" w:line="30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安平县统计局</w:t>
            </w:r>
          </w:p>
        </w:tc>
        <w:tc>
          <w:tcPr>
            <w:tcW w:type="dxa" w:w="1134"/>
            <w:cnfStyle w:val="000001010000" w:firstRow="0" w:lastRow="0" w:firstColumn="0" w:lastColumn="0" w:oddVBand="0" w:evenVBand="1" w:oddHBand="0" w:evenHBand="1"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宋体" w:eastAsia="Calibri" w:hAnsi="Calibri" w:hint="default"/>
              </w:rPr>
              <w:t>行政</w:t>
            </w:r>
          </w:p>
        </w:tc>
        <w:tc>
          <w:tcPr>
            <w:tcW w:type="dxa" w:w="1276"/>
            <w:cnfStyle w:val="000010010000" w:firstRow="0" w:lastRow="0" w:firstColumn="0" w:lastColumn="0" w:oddVBand="1" w:evenVBand="0" w:oddHBand="0" w:evenHBand="1"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宋体" w:eastAsia="Calibri" w:hAnsi="Calibri" w:hint="default"/>
              </w:rPr>
              <w:t>正科级</w:t>
            </w:r>
          </w:p>
        </w:tc>
        <w:tc>
          <w:tcPr>
            <w:tcW w:type="dxa" w:w="2901"/>
            <w:cnfStyle w:val="000001010000" w:firstRow="0" w:lastRow="0" w:firstColumn="0" w:lastColumn="0" w:oddVBand="0" w:evenVBand="1" w:oddHBand="0" w:evenHBand="1"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宋体" w:eastAsia="Calibri" w:hAnsi="Calibri" w:hint="default"/>
              </w:rPr>
              <w:t>财政拨款</w:t>
            </w:r>
          </w:p>
        </w:tc>
      </w:tr>
      <w:tr>
        <w:trPr>
          <w:cnfStyle w:val="000000100000" w:firstRow="0" w:lastRow="0" w:firstColumn="0" w:lastColumn="0" w:oddVBand="0" w:evenVBand="0" w:oddHBand="1" w:evenHBand="0" w:firstRowFirstColumn="0" w:firstRowLastColumn="0" w:lastRowFirstColumn="0" w:lastRowLastColumn="0"/>
          <w:trHeight w:hRule="atleast" w:val="232"/>
          <w:hidden w:val="0"/>
        </w:trPr>
        <w:tc>
          <w:tcPr>
            <w:tcW w:type="dxa" w:w="4416"/>
            <w:cnfStyle w:val="000010100000" w:firstRow="0" w:lastRow="0" w:firstColumn="0" w:lastColumn="0" w:oddVBand="1" w:evenVBand="0" w:oddHBand="1" w:evenHBand="0" w:firstRowFirstColumn="0" w:firstRowLastColumn="0" w:lastRowFirstColumn="0" w:lastRowLastColumn="0"/>
            <w:vAlign w:val="center"/>
            <w:tcBorders>
              <w:bottom w:val="single" w:color="auto" w:sz="6"/>
              <w:left w:val="single" w:color="auto" w:sz="6"/>
              <w:right w:val="single" w:color="auto" w:sz="6"/>
              <w:top w:val="single" w:color="auto" w:sz="6"/>
            </w:tcBorders>
          </w:tcPr>
          <w:p>
            <w:pPr>
              <w:numPr>
                <w:ilvl w:val="0"/>
                <w:numId w:val="0"/>
              </w:numPr>
              <w:jc w:val="left"/>
              <w:spacing w:lineRule="exact" w:line="300" w:before="0" w:after="0"/>
              <w:ind w:right="0" w:firstLine="0"/>
              <w:rPr>
                <w:color w:val="auto"/>
                <w:position w:val="0"/>
                <w:sz w:val="21"/>
                <w:szCs w:val="21"/>
                <w:rFonts w:ascii="Times New Roman" w:eastAsia="Times New Roman" w:hAnsi="Times New Roman" w:hint="default"/>
              </w:rPr>
              <w:autoSpaceDE w:val="1"/>
              <w:autoSpaceDN w:val="1"/>
            </w:pPr>
            <w:r>
              <w:rPr>
                <w:rStyle w:val="PO1"/>
                <w:spacing w:val="0"/>
                <w:color w:val="auto"/>
                <w:position w:val="0"/>
                <w:sz w:val="21"/>
                <w:szCs w:val="21"/>
                <w:rFonts w:ascii="方正书宋_GBK" w:eastAsia="方正书宋_GBK" w:hAnsi="方正书宋_GBK" w:hint="default"/>
              </w:rPr>
              <w:t>安平县统计局事业</w:t>
            </w:r>
          </w:p>
        </w:tc>
        <w:tc>
          <w:tcPr>
            <w:tcW w:type="dxa" w:w="1134"/>
            <w:cnfStyle w:val="000001100000" w:firstRow="0" w:lastRow="0" w:firstColumn="0" w:lastColumn="0" w:oddVBand="0" w:evenVBand="1" w:oddHBand="1" w:evenHBand="0"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事业</w:t>
            </w:r>
          </w:p>
        </w:tc>
        <w:tc>
          <w:tcPr>
            <w:tcW w:type="dxa" w:w="1276"/>
            <w:cnfStyle w:val="000010100000" w:firstRow="0" w:lastRow="0" w:firstColumn="0" w:lastColumn="0" w:oddVBand="1" w:evenVBand="0" w:oddHBand="1" w:evenHBand="0"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正科级</w:t>
            </w:r>
          </w:p>
        </w:tc>
        <w:tc>
          <w:tcPr>
            <w:tcW w:type="dxa" w:w="2901"/>
            <w:cnfStyle w:val="000001100000" w:firstRow="0" w:lastRow="0" w:firstColumn="0" w:lastColumn="0" w:oddVBand="0" w:evenVBand="1" w:oddHBand="1" w:evenHBand="0"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1"/>
                <w:szCs w:val="21"/>
                <w:rFonts w:ascii="Times New Roman" w:eastAsia="Times New Roman" w:hAnsi="Times New Roman" w:hint="default"/>
              </w:rPr>
              <w:autoSpaceDE w:val="1"/>
              <w:autoSpaceDN w:val="1"/>
            </w:pPr>
            <w:r>
              <w:rPr>
                <w:rStyle w:val="PO1"/>
                <w:spacing w:val="0"/>
                <w:color w:val="auto"/>
                <w:position w:val="0"/>
                <w:sz w:val="21"/>
                <w:szCs w:val="21"/>
                <w:rFonts w:ascii="方正书宋_GBK" w:eastAsia="方正书宋_GBK" w:hAnsi="方正书宋_GBK" w:hint="default"/>
              </w:rPr>
              <w:t>财政性资金基本保证</w:t>
            </w:r>
          </w:p>
        </w:tc>
      </w:tr>
      <w:tr>
        <w:trPr>
          <w:cnfStyle w:val="000000010000" w:firstRow="0" w:lastRow="0" w:firstColumn="0" w:lastColumn="0" w:oddVBand="0" w:evenVBand="0" w:oddHBand="0" w:evenHBand="1" w:firstRowFirstColumn="0" w:firstRowLastColumn="0" w:lastRowFirstColumn="0" w:lastRowLastColumn="0"/>
          <w:trHeight w:hRule="atleast" w:val="232"/>
          <w:hidden w:val="0"/>
        </w:trPr>
        <w:tc>
          <w:tcPr>
            <w:tcW w:type="dxa" w:w="4416"/>
            <w:cnfStyle w:val="000010010000" w:firstRow="0" w:lastRow="0" w:firstColumn="0" w:lastColumn="0" w:oddVBand="1" w:evenVBand="0" w:oddHBand="0" w:evenHBand="1" w:firstRowFirstColumn="0" w:firstRowLastColumn="0" w:lastRowFirstColumn="0" w:lastRowLastColumn="0"/>
            <w:vAlign w:val="center"/>
          </w:tcPr>
          <w:p>
            <w:pPr>
              <w:numPr>
                <w:ilvl w:val="0"/>
                <w:numId w:val="0"/>
              </w:numPr>
              <w:jc w:val="left"/>
              <w:spacing w:lineRule="exact" w:line="300" w:before="0" w:after="0"/>
              <w:ind w:right="0" w:firstLine="0"/>
              <w:rPr>
                <w:color w:val="auto"/>
                <w:position w:val="0"/>
                <w:sz w:val="21"/>
                <w:szCs w:val="21"/>
                <w:rFonts w:ascii="Times New Roman" w:eastAsia="Times New Roman" w:hAnsi="Times New Roman" w:hint="default"/>
              </w:rPr>
              <w:autoSpaceDE w:val="1"/>
              <w:autoSpaceDN w:val="1"/>
            </w:pPr>
          </w:p>
        </w:tc>
        <w:tc>
          <w:tcPr>
            <w:tcW w:type="dxa" w:w="1134"/>
            <w:cnfStyle w:val="000001010000" w:firstRow="0" w:lastRow="0" w:firstColumn="0" w:lastColumn="0" w:oddVBand="0" w:evenVBand="1" w:oddHBand="0" w:evenHBand="1"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1"/>
                <w:szCs w:val="21"/>
                <w:rFonts w:ascii="Times New Roman" w:eastAsia="Times New Roman" w:hAnsi="Times New Roman" w:hint="default"/>
              </w:rPr>
              <w:autoSpaceDE w:val="1"/>
              <w:autoSpaceDN w:val="1"/>
            </w:pPr>
          </w:p>
        </w:tc>
        <w:tc>
          <w:tcPr>
            <w:tcW w:type="dxa" w:w="1276"/>
            <w:cnfStyle w:val="000010010000" w:firstRow="0" w:lastRow="0" w:firstColumn="0" w:lastColumn="0" w:oddVBand="1" w:evenVBand="0" w:oddHBand="0" w:evenHBand="1"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1"/>
                <w:szCs w:val="21"/>
                <w:rFonts w:ascii="Times New Roman" w:eastAsia="Times New Roman" w:hAnsi="Times New Roman" w:hint="default"/>
              </w:rPr>
              <w:autoSpaceDE w:val="1"/>
              <w:autoSpaceDN w:val="1"/>
            </w:pPr>
          </w:p>
        </w:tc>
        <w:tc>
          <w:tcPr>
            <w:tcW w:type="dxa" w:w="2901"/>
            <w:cnfStyle w:val="000001010000" w:firstRow="0" w:lastRow="0" w:firstColumn="0" w:lastColumn="0" w:oddVBand="0" w:evenVBand="1" w:oddHBand="0" w:evenHBand="1"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1"/>
                <w:szCs w:val="21"/>
                <w:rFonts w:ascii="Times New Roman" w:eastAsia="Times New Roman" w:hAnsi="Times New Roman" w:hint="default"/>
              </w:rPr>
              <w:autoSpaceDE w:val="1"/>
              <w:autoSpaceDN w:val="1"/>
            </w:pPr>
          </w:p>
        </w:tc>
      </w:tr>
      <w:tr>
        <w:trPr>
          <w:cnfStyle w:val="000000100000" w:firstRow="0" w:lastRow="0" w:firstColumn="0" w:lastColumn="0" w:oddVBand="0" w:evenVBand="0" w:oddHBand="1" w:evenHBand="0" w:firstRowFirstColumn="0" w:firstRowLastColumn="0" w:lastRowFirstColumn="0" w:lastRowLastColumn="0"/>
          <w:trHeight w:hRule="atleast" w:val="232"/>
          <w:hidden w:val="0"/>
        </w:trPr>
        <w:tc>
          <w:tcPr>
            <w:tcW w:type="dxa" w:w="4416"/>
            <w:cnfStyle w:val="000010100000" w:firstRow="0" w:lastRow="0" w:firstColumn="0" w:lastColumn="0" w:oddVBand="1" w:evenVBand="0" w:oddHBand="1" w:evenHBand="0" w:firstRowFirstColumn="0" w:firstRowLastColumn="0" w:lastRowFirstColumn="0" w:lastRowLastColumn="0"/>
            <w:vAlign w:val="center"/>
          </w:tcPr>
          <w:p>
            <w:pPr>
              <w:numPr>
                <w:ilvl w:val="0"/>
                <w:numId w:val="0"/>
              </w:numPr>
              <w:jc w:val="left"/>
              <w:spacing w:lineRule="exact" w:line="300" w:before="0" w:after="0"/>
              <w:ind w:right="0" w:firstLine="0"/>
              <w:rPr>
                <w:color w:val="auto"/>
                <w:position w:val="0"/>
                <w:sz w:val="21"/>
                <w:szCs w:val="21"/>
                <w:rFonts w:ascii="Times New Roman" w:eastAsia="Times New Roman" w:hAnsi="Times New Roman" w:hint="default"/>
              </w:rPr>
              <w:autoSpaceDE w:val="1"/>
              <w:autoSpaceDN w:val="1"/>
            </w:pPr>
          </w:p>
        </w:tc>
        <w:tc>
          <w:tcPr>
            <w:tcW w:type="dxa" w:w="1134"/>
            <w:cnfStyle w:val="000001100000" w:firstRow="0" w:lastRow="0" w:firstColumn="0" w:lastColumn="0" w:oddVBand="0" w:evenVBand="1" w:oddHBand="1" w:evenHBand="0"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1"/>
                <w:szCs w:val="21"/>
                <w:rFonts w:ascii="Times New Roman" w:eastAsia="Times New Roman" w:hAnsi="Times New Roman" w:hint="default"/>
              </w:rPr>
              <w:autoSpaceDE w:val="1"/>
              <w:autoSpaceDN w:val="1"/>
            </w:pPr>
          </w:p>
        </w:tc>
        <w:tc>
          <w:tcPr>
            <w:tcW w:type="dxa" w:w="1276"/>
            <w:cnfStyle w:val="000010100000" w:firstRow="0" w:lastRow="0" w:firstColumn="0" w:lastColumn="0" w:oddVBand="1" w:evenVBand="0" w:oddHBand="1" w:evenHBand="0"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1"/>
                <w:szCs w:val="21"/>
                <w:rFonts w:ascii="Times New Roman" w:eastAsia="Times New Roman" w:hAnsi="Times New Roman" w:hint="default"/>
              </w:rPr>
              <w:autoSpaceDE w:val="1"/>
              <w:autoSpaceDN w:val="1"/>
            </w:pPr>
          </w:p>
        </w:tc>
        <w:tc>
          <w:tcPr>
            <w:tcW w:type="dxa" w:w="2901"/>
            <w:cnfStyle w:val="000001100000" w:firstRow="0" w:lastRow="0" w:firstColumn="0" w:lastColumn="0" w:oddVBand="0" w:evenVBand="1" w:oddHBand="1" w:evenHBand="0"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1"/>
                <w:szCs w:val="21"/>
                <w:rFonts w:ascii="Times New Roman" w:eastAsia="Times New Roman" w:hAnsi="Times New Roman" w:hint="default"/>
              </w:rPr>
              <w:autoSpaceDE w:val="1"/>
              <w:autoSpaceDN w:val="1"/>
            </w:pPr>
          </w:p>
        </w:tc>
      </w:tr>
      <w:tr>
        <w:trPr>
          <w:cnfStyle w:val="000000010000" w:firstRow="0" w:lastRow="0" w:firstColumn="0" w:lastColumn="0" w:oddVBand="0" w:evenVBand="0" w:oddHBand="0" w:evenHBand="1" w:firstRowFirstColumn="0" w:firstRowLastColumn="0" w:lastRowFirstColumn="0" w:lastRowLastColumn="0"/>
          <w:trHeight w:hRule="atleast" w:val="232"/>
          <w:hidden w:val="0"/>
        </w:trPr>
        <w:tc>
          <w:tcPr>
            <w:tcW w:type="dxa" w:w="4416"/>
            <w:cnfStyle w:val="000010010000" w:firstRow="0" w:lastRow="0" w:firstColumn="0" w:lastColumn="0" w:oddVBand="1" w:evenVBand="0" w:oddHBand="0" w:evenHBand="1" w:firstRowFirstColumn="0" w:firstRowLastColumn="0" w:lastRowFirstColumn="0" w:lastRowLastColumn="0"/>
            <w:vAlign w:val="center"/>
          </w:tcPr>
          <w:p>
            <w:pPr>
              <w:numPr>
                <w:ilvl w:val="0"/>
                <w:numId w:val="0"/>
              </w:numPr>
              <w:jc w:val="left"/>
              <w:spacing w:lineRule="exact" w:line="300" w:before="0" w:after="0"/>
              <w:ind w:right="0" w:firstLine="0"/>
              <w:rPr>
                <w:color w:val="auto"/>
                <w:position w:val="0"/>
                <w:sz w:val="21"/>
                <w:szCs w:val="21"/>
                <w:rFonts w:ascii="Times New Roman" w:eastAsia="Times New Roman" w:hAnsi="Times New Roman" w:hint="default"/>
              </w:rPr>
              <w:autoSpaceDE w:val="1"/>
              <w:autoSpaceDN w:val="1"/>
            </w:pPr>
          </w:p>
        </w:tc>
        <w:tc>
          <w:tcPr>
            <w:tcW w:type="dxa" w:w="1134"/>
            <w:cnfStyle w:val="000001010000" w:firstRow="0" w:lastRow="0" w:firstColumn="0" w:lastColumn="0" w:oddVBand="0" w:evenVBand="1" w:oddHBand="0" w:evenHBand="1"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1"/>
                <w:szCs w:val="21"/>
                <w:rFonts w:ascii="Times New Roman" w:eastAsia="Times New Roman" w:hAnsi="Times New Roman" w:hint="default"/>
              </w:rPr>
              <w:autoSpaceDE w:val="1"/>
              <w:autoSpaceDN w:val="1"/>
            </w:pPr>
          </w:p>
        </w:tc>
        <w:tc>
          <w:tcPr>
            <w:tcW w:type="dxa" w:w="1276"/>
            <w:cnfStyle w:val="000010010000" w:firstRow="0" w:lastRow="0" w:firstColumn="0" w:lastColumn="0" w:oddVBand="1" w:evenVBand="0" w:oddHBand="0" w:evenHBand="1"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1"/>
                <w:szCs w:val="21"/>
                <w:rFonts w:ascii="Times New Roman" w:eastAsia="Times New Roman" w:hAnsi="Times New Roman" w:hint="default"/>
              </w:rPr>
              <w:autoSpaceDE w:val="1"/>
              <w:autoSpaceDN w:val="1"/>
            </w:pPr>
          </w:p>
        </w:tc>
        <w:tc>
          <w:tcPr>
            <w:tcW w:type="dxa" w:w="2901"/>
            <w:cnfStyle w:val="000001010000" w:firstRow="0" w:lastRow="0" w:firstColumn="0" w:lastColumn="0" w:oddVBand="0" w:evenVBand="1" w:oddHBand="0" w:evenHBand="1"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1"/>
                <w:szCs w:val="21"/>
                <w:rFonts w:ascii="Times New Roman" w:eastAsia="Times New Roman" w:hAnsi="Times New Roman" w:hint="default"/>
              </w:rPr>
              <w:autoSpaceDE w:val="1"/>
              <w:autoSpaceDN w:val="1"/>
            </w:pPr>
          </w:p>
        </w:tc>
      </w:tr>
      <w:tr>
        <w:trPr>
          <w:cnfStyle w:val="000000100000" w:firstRow="0" w:lastRow="0" w:firstColumn="0" w:lastColumn="0" w:oddVBand="0" w:evenVBand="0" w:oddHBand="1" w:evenHBand="0" w:firstRowFirstColumn="0" w:firstRowLastColumn="0" w:lastRowFirstColumn="0" w:lastRowLastColumn="0"/>
          <w:trHeight w:hRule="atleast" w:val="232"/>
          <w:hidden w:val="0"/>
        </w:trPr>
        <w:tc>
          <w:tcPr>
            <w:tcW w:type="dxa" w:w="4416"/>
            <w:cnfStyle w:val="000010100000" w:firstRow="0" w:lastRow="0" w:firstColumn="0" w:lastColumn="0" w:oddVBand="1" w:evenVBand="0" w:oddHBand="1" w:evenHBand="0" w:firstRowFirstColumn="0" w:firstRowLastColumn="0" w:lastRowFirstColumn="0" w:lastRowLastColumn="0"/>
            <w:vAlign w:val="center"/>
          </w:tcPr>
          <w:p>
            <w:pPr>
              <w:numPr>
                <w:ilvl w:val="0"/>
                <w:numId w:val="0"/>
              </w:numPr>
              <w:jc w:val="left"/>
              <w:spacing w:lineRule="exact" w:line="300" w:before="0" w:after="0"/>
              <w:ind w:right="0" w:firstLine="0"/>
              <w:rPr>
                <w:color w:val="auto"/>
                <w:position w:val="0"/>
                <w:sz w:val="21"/>
                <w:szCs w:val="21"/>
                <w:rFonts w:ascii="????_GBK" w:eastAsia="Times New Roman" w:hAnsi="Times New Roman" w:hint="default"/>
              </w:rPr>
              <w:autoSpaceDE w:val="1"/>
              <w:autoSpaceDN w:val="1"/>
            </w:pPr>
          </w:p>
        </w:tc>
        <w:tc>
          <w:tcPr>
            <w:tcW w:type="dxa" w:w="1134"/>
            <w:cnfStyle w:val="000001100000" w:firstRow="0" w:lastRow="0" w:firstColumn="0" w:lastColumn="0" w:oddVBand="0" w:evenVBand="1" w:oddHBand="1" w:evenHBand="0"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1"/>
                <w:szCs w:val="21"/>
                <w:rFonts w:ascii="Times New Roman" w:eastAsia="Times New Roman" w:hAnsi="Times New Roman" w:hint="default"/>
              </w:rPr>
              <w:autoSpaceDE w:val="1"/>
              <w:autoSpaceDN w:val="1"/>
            </w:pPr>
          </w:p>
        </w:tc>
        <w:tc>
          <w:tcPr>
            <w:tcW w:type="dxa" w:w="1276"/>
            <w:cnfStyle w:val="000010100000" w:firstRow="0" w:lastRow="0" w:firstColumn="0" w:lastColumn="0" w:oddVBand="1" w:evenVBand="0" w:oddHBand="1" w:evenHBand="0"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1"/>
                <w:szCs w:val="21"/>
                <w:rFonts w:ascii="Times New Roman" w:eastAsia="Times New Roman" w:hAnsi="Times New Roman" w:hint="default"/>
              </w:rPr>
              <w:autoSpaceDE w:val="1"/>
              <w:autoSpaceDN w:val="1"/>
            </w:pPr>
          </w:p>
        </w:tc>
        <w:tc>
          <w:tcPr>
            <w:tcW w:type="dxa" w:w="2901"/>
            <w:cnfStyle w:val="000001100000" w:firstRow="0" w:lastRow="0" w:firstColumn="0" w:lastColumn="0" w:oddVBand="0" w:evenVBand="1" w:oddHBand="1" w:evenHBand="0"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1"/>
                <w:szCs w:val="21"/>
                <w:rFonts w:ascii="????_GBK" w:eastAsia="Times New Roman" w:hAnsi="Times New Roman" w:hint="default"/>
              </w:rPr>
              <w:autoSpaceDE w:val="1"/>
              <w:autoSpaceDN w:val="1"/>
            </w:pPr>
          </w:p>
        </w:tc>
      </w:tr>
    </w:tbl>
    <w:p>
      <w:pPr>
        <w:numPr>
          <w:ilvl w:val="0"/>
          <w:numId w:val="0"/>
        </w:numPr>
        <w:jc w:val="both"/>
        <w:spacing w:lineRule="atLeast" w:line="2" w:before="0" w:after="0"/>
        <w:ind w:right="0" w:firstLine="736"/>
        <w:tabs>
          <w:tab w:val="left" w:pos="420"/>
          <w:tab w:val="left" w:pos="840"/>
          <w:tab w:val="left" w:pos="1260"/>
          <w:tab w:val="left" w:pos="1680"/>
          <w:tab w:val="left" w:pos="2100"/>
          <w:tab w:val="left" w:pos="2520"/>
          <w:tab w:val="left" w:pos="2940"/>
          <w:tab w:val="left" w:pos="3360"/>
          <w:tab w:val="left" w:pos="3780"/>
          <w:tab w:val="left" w:pos="4200"/>
        </w:tabs>
        <w:rPr>
          <w:color w:val="auto"/>
          <w:position w:val="0"/>
          <w:sz w:val="32"/>
          <w:szCs w:val="32"/>
          <w:rFonts w:ascii="仿宋" w:eastAsia="仿宋" w:hAnsi="仿宋" w:hint="default"/>
        </w:rPr>
        <w:autoSpaceDE w:val="0"/>
        <w:autoSpaceDN w:val="0"/>
      </w:pPr>
      <w:r>
        <w:rPr>
          <w:color w:val="auto"/>
          <w:position w:val="0"/>
          <w:sz w:val="32"/>
          <w:szCs w:val="32"/>
          <w:rFonts w:ascii="仿宋" w:eastAsia="仿宋" w:hAnsi="仿宋" w:hint="default"/>
        </w:rPr>
        <w:t>为了更好的完成各项统计任务，我局设5个内设机构，分工明确，为更准确、及时的完成各项目</w:t>
      </w:r>
      <w:r>
        <w:rPr>
          <w:color w:val="auto"/>
          <w:position w:val="0"/>
          <w:sz w:val="32"/>
          <w:szCs w:val="32"/>
          <w:rFonts w:ascii="仿宋" w:eastAsia="仿宋" w:hAnsi="仿宋" w:hint="default"/>
        </w:rPr>
        <w:t xml:space="preserve">标任务 。</w:t>
      </w:r>
    </w:p>
    <w:p>
      <w:pPr>
        <w:numPr>
          <w:ilvl w:val="0"/>
          <w:numId w:val="0"/>
        </w:numPr>
        <w:jc w:val="both"/>
        <w:spacing w:lineRule="atLeast" w:line="2" w:before="0" w:after="0"/>
        <w:ind w:right="0" w:firstLine="480"/>
        <w:tabs>
          <w:tab w:val="left" w:pos="420"/>
          <w:tab w:val="left" w:pos="840"/>
          <w:tab w:val="left" w:pos="1260"/>
          <w:tab w:val="left" w:pos="1680"/>
          <w:tab w:val="left" w:pos="2100"/>
          <w:tab w:val="left" w:pos="2520"/>
          <w:tab w:val="left" w:pos="2940"/>
          <w:tab w:val="left" w:pos="3360"/>
          <w:tab w:val="left" w:pos="3780"/>
          <w:tab w:val="left" w:pos="4200"/>
        </w:tabs>
        <w:rPr>
          <w:color w:val="auto"/>
          <w:position w:val="0"/>
          <w:sz w:val="32"/>
          <w:szCs w:val="32"/>
          <w:rFonts w:ascii="仿宋" w:eastAsia="仿宋" w:hAnsi="仿宋" w:hint="default"/>
        </w:rPr>
        <w:autoSpaceDE w:val="0"/>
        <w:autoSpaceDN w:val="0"/>
      </w:pPr>
      <w:r>
        <w:rPr>
          <w:color w:val="auto"/>
          <w:position w:val="0"/>
          <w:sz w:val="32"/>
          <w:szCs w:val="32"/>
          <w:rFonts w:ascii="仿宋" w:eastAsia="仿宋" w:hAnsi="仿宋" w:hint="default"/>
        </w:rPr>
        <w:t>（一）办公室</w:t>
      </w:r>
    </w:p>
    <w:p>
      <w:pPr>
        <w:numPr>
          <w:ilvl w:val="0"/>
          <w:numId w:val="0"/>
        </w:numPr>
        <w:jc w:val="both"/>
        <w:spacing w:lineRule="atLeast" w:line="2" w:before="0" w:after="0"/>
        <w:ind w:right="0" w:firstLine="420"/>
        <w:tabs>
          <w:tab w:val="left" w:pos="420"/>
          <w:tab w:val="left" w:pos="840"/>
          <w:tab w:val="left" w:pos="1260"/>
          <w:tab w:val="left" w:pos="1680"/>
          <w:tab w:val="left" w:pos="2100"/>
          <w:tab w:val="left" w:pos="2520"/>
          <w:tab w:val="left" w:pos="2940"/>
          <w:tab w:val="left" w:pos="3360"/>
          <w:tab w:val="left" w:pos="3780"/>
          <w:tab w:val="left" w:pos="4200"/>
        </w:tabs>
        <w:rPr>
          <w:color w:val="auto"/>
          <w:position w:val="0"/>
          <w:sz w:val="32"/>
          <w:szCs w:val="32"/>
          <w:rFonts w:ascii="仿宋" w:eastAsia="仿宋" w:hAnsi="仿宋" w:hint="default"/>
        </w:rPr>
        <w:autoSpaceDE w:val="0"/>
        <w:autoSpaceDN w:val="0"/>
      </w:pPr>
      <w:r>
        <w:rPr>
          <w:color w:val="auto"/>
          <w:position w:val="0"/>
          <w:sz w:val="32"/>
          <w:szCs w:val="32"/>
          <w:rFonts w:ascii="仿宋" w:eastAsia="仿宋" w:hAnsi="仿宋" w:hint="default"/>
        </w:rPr>
        <w:t>负责全县统计工作规划；负责文秘、机要、保密、信访、档案、政务信息、会务等机关日常运转工</w:t>
      </w:r>
      <w:r>
        <w:rPr>
          <w:color w:val="auto"/>
          <w:position w:val="0"/>
          <w:sz w:val="32"/>
          <w:szCs w:val="32"/>
          <w:rFonts w:ascii="仿宋" w:eastAsia="仿宋" w:hAnsi="仿宋" w:hint="default"/>
        </w:rPr>
        <w:t>作，协调机关政务工作，承担车辆管理、后勤保障、外事接待等工作；管理机关财务、基本建设投资</w:t>
      </w:r>
      <w:r>
        <w:rPr>
          <w:color w:val="auto"/>
          <w:position w:val="0"/>
          <w:sz w:val="32"/>
          <w:szCs w:val="32"/>
          <w:rFonts w:ascii="仿宋" w:eastAsia="仿宋" w:hAnsi="仿宋" w:hint="default"/>
        </w:rPr>
        <w:t>和国有资产，管理专项调查经费、普查经费、统计事业费、全县统计系统国家及省市拨款的基本建设</w:t>
      </w:r>
      <w:r>
        <w:rPr>
          <w:color w:val="auto"/>
          <w:position w:val="0"/>
          <w:sz w:val="32"/>
          <w:szCs w:val="32"/>
          <w:rFonts w:ascii="仿宋" w:eastAsia="仿宋" w:hAnsi="仿宋" w:hint="default"/>
        </w:rPr>
        <w:t>经费和固定资产，负责机关政府采购；承担机关和事业单位的人事和机构编制管理工作；负责统计人</w:t>
      </w:r>
      <w:r>
        <w:rPr>
          <w:color w:val="auto"/>
          <w:position w:val="0"/>
          <w:sz w:val="32"/>
          <w:szCs w:val="32"/>
          <w:rFonts w:ascii="仿宋" w:eastAsia="仿宋" w:hAnsi="仿宋" w:hint="default"/>
        </w:rPr>
        <w:t>员持证上岗工作，管理全局机关计划生育，妇女工作，做好老干部工作；协助组织管理全县统计专业</w:t>
      </w:r>
      <w:r>
        <w:rPr>
          <w:color w:val="auto"/>
          <w:position w:val="0"/>
          <w:sz w:val="32"/>
          <w:szCs w:val="32"/>
          <w:rFonts w:ascii="仿宋" w:eastAsia="仿宋" w:hAnsi="仿宋" w:hint="default"/>
        </w:rPr>
        <w:t>技术资格考试和职务评聘工作；承办协助管理各乡镇统计委有关工作。组织各乡镇统计委度工作综合</w:t>
      </w:r>
      <w:r>
        <w:rPr>
          <w:color w:val="auto"/>
          <w:position w:val="0"/>
          <w:sz w:val="32"/>
          <w:szCs w:val="32"/>
          <w:rFonts w:ascii="仿宋" w:eastAsia="仿宋" w:hAnsi="仿宋" w:hint="default"/>
        </w:rPr>
        <w:t>考评工作；负责统计执法工作，拟订有关统计方面的政府规章草案、统计规章制度；组织开展统计普</w:t>
      </w:r>
      <w:r>
        <w:rPr>
          <w:color w:val="auto"/>
          <w:position w:val="0"/>
          <w:sz w:val="32"/>
          <w:szCs w:val="32"/>
          <w:rFonts w:ascii="仿宋" w:eastAsia="仿宋" w:hAnsi="仿宋" w:hint="default"/>
        </w:rPr>
        <w:t>法宣传和执法检查工作，查办统计违法案件；管理和培训统计行政执法人员；办理统计行政复议、应</w:t>
      </w:r>
      <w:r>
        <w:rPr>
          <w:color w:val="auto"/>
          <w:position w:val="0"/>
          <w:sz w:val="32"/>
          <w:szCs w:val="32"/>
          <w:rFonts w:ascii="仿宋" w:eastAsia="仿宋" w:hAnsi="仿宋" w:hint="default"/>
        </w:rPr>
        <w:t>诉和其他法律性事务；负责全县地方统计制度的研究，依法审批或备案部门、地方统计调查项目；负</w:t>
      </w:r>
      <w:r>
        <w:rPr>
          <w:color w:val="auto"/>
          <w:position w:val="0"/>
          <w:sz w:val="32"/>
          <w:szCs w:val="32"/>
          <w:rFonts w:ascii="仿宋" w:eastAsia="仿宋" w:hAnsi="仿宋" w:hint="default"/>
        </w:rPr>
        <w:t>责城乡划分工作，管理全县统计系统基础工作。</w:t>
      </w:r>
    </w:p>
    <w:p>
      <w:pPr>
        <w:numPr>
          <w:ilvl w:val="0"/>
          <w:numId w:val="0"/>
        </w:numPr>
        <w:jc w:val="both"/>
        <w:spacing w:lineRule="atLeast" w:line="2" w:before="0" w:after="0"/>
        <w:ind w:right="0" w:firstLine="420"/>
        <w:tabs>
          <w:tab w:val="left" w:pos="420"/>
          <w:tab w:val="left" w:pos="840"/>
          <w:tab w:val="left" w:pos="1260"/>
          <w:tab w:val="left" w:pos="1680"/>
          <w:tab w:val="left" w:pos="2100"/>
          <w:tab w:val="left" w:pos="2520"/>
          <w:tab w:val="left" w:pos="2940"/>
          <w:tab w:val="left" w:pos="3360"/>
          <w:tab w:val="left" w:pos="3780"/>
          <w:tab w:val="left" w:pos="4200"/>
        </w:tabs>
        <w:rPr>
          <w:color w:val="auto"/>
          <w:position w:val="0"/>
          <w:sz w:val="32"/>
          <w:szCs w:val="32"/>
          <w:rFonts w:ascii="仿宋" w:eastAsia="仿宋" w:hAnsi="仿宋" w:hint="default"/>
        </w:rPr>
        <w:autoSpaceDE w:val="0"/>
        <w:autoSpaceDN w:val="0"/>
      </w:pPr>
      <w:r>
        <w:rPr>
          <w:color w:val="auto"/>
          <w:position w:val="0"/>
          <w:sz w:val="32"/>
          <w:szCs w:val="32"/>
          <w:rFonts w:ascii="仿宋" w:eastAsia="仿宋" w:hAnsi="仿宋" w:hint="default"/>
        </w:rPr>
        <w:t>监测预警全县国民经济运行，分析研究经济社会重大问题，提出宏观调控咨询建议；负责统计数据</w:t>
      </w:r>
      <w:r>
        <w:rPr>
          <w:color w:val="auto"/>
          <w:position w:val="0"/>
          <w:sz w:val="32"/>
          <w:szCs w:val="32"/>
          <w:rFonts w:ascii="仿宋" w:eastAsia="仿宋" w:hAnsi="仿宋" w:hint="default"/>
        </w:rPr>
        <w:t>发布和统计新闻宣传；汇总整理编辑综合性统计资料；负责城镇化发展统计监测工作；组织管理软科</w:t>
      </w:r>
      <w:r>
        <w:rPr>
          <w:color w:val="auto"/>
          <w:position w:val="0"/>
          <w:sz w:val="32"/>
          <w:szCs w:val="32"/>
          <w:rFonts w:ascii="仿宋" w:eastAsia="仿宋" w:hAnsi="仿宋" w:hint="default"/>
        </w:rPr>
        <w:t>学课题研究工作。汇总整理综合性统计资料；及时向县委、县政府反馈统计信息；组织实施国民经济</w:t>
      </w:r>
      <w:r>
        <w:rPr>
          <w:color w:val="auto"/>
          <w:position w:val="0"/>
          <w:sz w:val="32"/>
          <w:szCs w:val="32"/>
          <w:rFonts w:ascii="仿宋" w:eastAsia="仿宋" w:hAnsi="仿宋" w:hint="default"/>
        </w:rPr>
        <w:t>核算制度和投入产出调查、民营经济统计，收集、整理和提供统计数据资料；综合整理和提供财政、金</w:t>
      </w:r>
      <w:r>
        <w:rPr>
          <w:color w:val="auto"/>
          <w:position w:val="0"/>
          <w:sz w:val="32"/>
          <w:szCs w:val="32"/>
          <w:rFonts w:ascii="仿宋" w:eastAsia="仿宋" w:hAnsi="仿宋" w:hint="default"/>
        </w:rPr>
        <w:t>融、个体、私营和混合经济税收统计数据；核算全县生产总值，编制全县投入产出表、资产负债表；</w:t>
      </w:r>
      <w:r>
        <w:rPr>
          <w:color w:val="auto"/>
          <w:position w:val="0"/>
          <w:sz w:val="32"/>
          <w:szCs w:val="32"/>
          <w:rFonts w:ascii="仿宋" w:eastAsia="仿宋" w:hAnsi="仿宋" w:hint="default"/>
        </w:rPr>
        <w:t>开展分析研究；监督管理全县国民经济核算工作，审核、评估统计调查数据；组织指导有关统计业务</w:t>
      </w:r>
      <w:r>
        <w:rPr>
          <w:color w:val="auto"/>
          <w:position w:val="0"/>
          <w:sz w:val="32"/>
          <w:szCs w:val="32"/>
          <w:rFonts w:ascii="仿宋" w:eastAsia="仿宋" w:hAnsi="仿宋" w:hint="default"/>
        </w:rPr>
        <w:t>基础建设工作，负责搜集、审核提供聚集区发展考核的有关指标统计数据。</w:t>
      </w:r>
    </w:p>
    <w:p>
      <w:pPr>
        <w:numPr>
          <w:ilvl w:val="0"/>
          <w:numId w:val="0"/>
        </w:numPr>
        <w:jc w:val="both"/>
        <w:spacing w:lineRule="atLeast" w:line="2" w:before="0" w:after="0"/>
        <w:ind w:right="0" w:firstLine="420"/>
        <w:tabs>
          <w:tab w:val="left" w:pos="420"/>
          <w:tab w:val="left" w:pos="840"/>
          <w:tab w:val="left" w:pos="1260"/>
          <w:tab w:val="left" w:pos="1680"/>
          <w:tab w:val="left" w:pos="2100"/>
          <w:tab w:val="left" w:pos="2520"/>
          <w:tab w:val="left" w:pos="2940"/>
          <w:tab w:val="left" w:pos="3360"/>
          <w:tab w:val="left" w:pos="3780"/>
          <w:tab w:val="left" w:pos="4200"/>
        </w:tabs>
        <w:rPr>
          <w:color w:val="auto"/>
          <w:position w:val="0"/>
          <w:sz w:val="32"/>
          <w:szCs w:val="32"/>
          <w:rFonts w:ascii="仿宋" w:eastAsia="仿宋" w:hAnsi="仿宋" w:hint="default"/>
        </w:rPr>
        <w:autoSpaceDE w:val="0"/>
        <w:autoSpaceDN w:val="0"/>
      </w:pPr>
      <w:r>
        <w:rPr>
          <w:color w:val="auto"/>
          <w:position w:val="0"/>
          <w:sz w:val="32"/>
          <w:szCs w:val="32"/>
          <w:rFonts w:ascii="仿宋" w:eastAsia="仿宋" w:hAnsi="仿宋" w:hint="default"/>
        </w:rPr>
        <w:t>负责国家和省市下达的人口、经济、农业等多项重大国情、国力的普查任务，负责普查方案的制定</w:t>
      </w:r>
      <w:r>
        <w:rPr>
          <w:color w:val="auto"/>
          <w:position w:val="0"/>
          <w:sz w:val="32"/>
          <w:szCs w:val="32"/>
          <w:rFonts w:ascii="仿宋" w:eastAsia="仿宋" w:hAnsi="仿宋" w:hint="default"/>
        </w:rPr>
        <w:t>和实施，解决普查技术问题，指导下级普查机构业务工作，检查评估数据质量，负责普查资料的开发</w:t>
      </w:r>
      <w:r>
        <w:rPr>
          <w:color w:val="auto"/>
          <w:position w:val="0"/>
          <w:sz w:val="32"/>
          <w:szCs w:val="32"/>
          <w:rFonts w:ascii="仿宋" w:eastAsia="仿宋" w:hAnsi="仿宋" w:hint="default"/>
        </w:rPr>
        <w:t>和利用，及时向有关部门和社会提供普查数据，承办县委、县政府交办的其他统计调查业务。</w:t>
      </w:r>
    </w:p>
    <w:p>
      <w:pPr>
        <w:numPr>
          <w:ilvl w:val="0"/>
          <w:numId w:val="0"/>
        </w:numPr>
        <w:jc w:val="both"/>
        <w:spacing w:lineRule="atLeast" w:line="2" w:before="0" w:after="0"/>
        <w:ind w:right="0" w:firstLine="420"/>
        <w:tabs>
          <w:tab w:val="left" w:pos="420"/>
          <w:tab w:val="left" w:pos="840"/>
          <w:tab w:val="left" w:pos="1260"/>
          <w:tab w:val="left" w:pos="1680"/>
          <w:tab w:val="left" w:pos="2100"/>
          <w:tab w:val="left" w:pos="2520"/>
          <w:tab w:val="left" w:pos="2940"/>
          <w:tab w:val="left" w:pos="3360"/>
          <w:tab w:val="left" w:pos="3780"/>
          <w:tab w:val="left" w:pos="4200"/>
        </w:tabs>
        <w:rPr>
          <w:color w:val="auto"/>
          <w:position w:val="0"/>
          <w:sz w:val="32"/>
          <w:szCs w:val="32"/>
          <w:rFonts w:ascii="仿宋" w:eastAsia="仿宋" w:hAnsi="仿宋" w:hint="default"/>
        </w:rPr>
        <w:autoSpaceDE w:val="0"/>
        <w:autoSpaceDN w:val="0"/>
      </w:pPr>
      <w:r>
        <w:rPr>
          <w:color w:val="auto"/>
          <w:position w:val="0"/>
          <w:sz w:val="32"/>
          <w:szCs w:val="32"/>
          <w:rFonts w:ascii="仿宋" w:eastAsia="仿宋" w:hAnsi="仿宋" w:hint="default"/>
        </w:rPr>
        <w:t>（二）工业科</w:t>
      </w:r>
    </w:p>
    <w:p>
      <w:pPr>
        <w:numPr>
          <w:ilvl w:val="0"/>
          <w:numId w:val="0"/>
        </w:numPr>
        <w:jc w:val="both"/>
        <w:spacing w:lineRule="atLeast" w:line="2" w:before="0" w:after="0"/>
        <w:ind w:right="0" w:firstLine="420"/>
        <w:tabs>
          <w:tab w:val="left" w:pos="420"/>
          <w:tab w:val="left" w:pos="840"/>
          <w:tab w:val="left" w:pos="1260"/>
          <w:tab w:val="left" w:pos="1680"/>
          <w:tab w:val="left" w:pos="2100"/>
          <w:tab w:val="left" w:pos="2520"/>
          <w:tab w:val="left" w:pos="2940"/>
          <w:tab w:val="left" w:pos="3360"/>
          <w:tab w:val="left" w:pos="3780"/>
          <w:tab w:val="left" w:pos="4200"/>
        </w:tabs>
        <w:rPr>
          <w:color w:val="auto"/>
          <w:position w:val="0"/>
          <w:sz w:val="32"/>
          <w:szCs w:val="32"/>
          <w:rFonts w:ascii="仿宋" w:eastAsia="仿宋" w:hAnsi="仿宋" w:hint="default"/>
        </w:rPr>
        <w:autoSpaceDE w:val="0"/>
        <w:autoSpaceDN w:val="0"/>
      </w:pPr>
      <w:r>
        <w:rPr>
          <w:color w:val="auto"/>
          <w:position w:val="0"/>
          <w:sz w:val="32"/>
          <w:szCs w:val="32"/>
          <w:rFonts w:ascii="仿宋" w:eastAsia="仿宋" w:hAnsi="仿宋" w:hint="default"/>
        </w:rPr>
        <w:t>组织实施工业统计相关工作（含规模以下工业）、成本费用调查、企业（集团）统计调查，搜集、整</w:t>
      </w:r>
      <w:r>
        <w:rPr>
          <w:color w:val="auto"/>
          <w:position w:val="0"/>
          <w:sz w:val="32"/>
          <w:szCs w:val="32"/>
          <w:rFonts w:ascii="仿宋" w:eastAsia="仿宋" w:hAnsi="仿宋" w:hint="default"/>
        </w:rPr>
        <w:t>理和提供有关统计调查数据；检查和评估统计数据质量；开展统计分析；组织指导有关统计业务基础</w:t>
      </w:r>
      <w:r>
        <w:rPr>
          <w:color w:val="auto"/>
          <w:position w:val="0"/>
          <w:sz w:val="32"/>
          <w:szCs w:val="32"/>
          <w:rFonts w:ascii="仿宋" w:eastAsia="仿宋" w:hAnsi="仿宋" w:hint="default"/>
        </w:rPr>
        <w:t>建设工作；负责全系统企业联网直报工作；协助组织经济普查工作。</w:t>
      </w:r>
    </w:p>
    <w:p>
      <w:pPr>
        <w:numPr>
          <w:ilvl w:val="0"/>
          <w:numId w:val="0"/>
        </w:numPr>
        <w:jc w:val="both"/>
        <w:spacing w:lineRule="atLeast" w:line="2" w:before="0" w:after="0"/>
        <w:ind w:right="0" w:firstLine="420"/>
        <w:tabs>
          <w:tab w:val="left" w:pos="420"/>
          <w:tab w:val="left" w:pos="840"/>
          <w:tab w:val="left" w:pos="1260"/>
          <w:tab w:val="left" w:pos="1680"/>
          <w:tab w:val="left" w:pos="2100"/>
          <w:tab w:val="left" w:pos="2520"/>
          <w:tab w:val="left" w:pos="2940"/>
          <w:tab w:val="left" w:pos="3360"/>
          <w:tab w:val="left" w:pos="3780"/>
          <w:tab w:val="left" w:pos="4200"/>
        </w:tabs>
        <w:rPr>
          <w:color w:val="auto"/>
          <w:position w:val="0"/>
          <w:sz w:val="32"/>
          <w:szCs w:val="32"/>
          <w:rFonts w:ascii="仿宋" w:eastAsia="仿宋" w:hAnsi="仿宋" w:hint="default"/>
        </w:rPr>
        <w:autoSpaceDE w:val="0"/>
        <w:autoSpaceDN w:val="0"/>
      </w:pPr>
      <w:r>
        <w:rPr>
          <w:color w:val="auto"/>
          <w:position w:val="0"/>
          <w:sz w:val="32"/>
          <w:szCs w:val="32"/>
          <w:rFonts w:ascii="仿宋" w:eastAsia="仿宋" w:hAnsi="仿宋" w:hint="default"/>
        </w:rPr>
        <w:t>（三）能源科</w:t>
      </w:r>
    </w:p>
    <w:p>
      <w:pPr>
        <w:numPr>
          <w:ilvl w:val="0"/>
          <w:numId w:val="0"/>
        </w:numPr>
        <w:jc w:val="left"/>
        <w:spacing w:lineRule="atLeast" w:line="2" w:before="0" w:after="0"/>
        <w:ind w:right="0" w:firstLine="420"/>
        <w:tabs>
          <w:tab w:val="left" w:pos="420"/>
          <w:tab w:val="left" w:pos="840"/>
          <w:tab w:val="left" w:pos="1260"/>
          <w:tab w:val="left" w:pos="1680"/>
          <w:tab w:val="left" w:pos="2100"/>
          <w:tab w:val="left" w:pos="2520"/>
          <w:tab w:val="left" w:pos="2940"/>
          <w:tab w:val="left" w:pos="3360"/>
          <w:tab w:val="left" w:pos="3780"/>
          <w:tab w:val="left" w:pos="4200"/>
        </w:tabs>
        <w:rPr>
          <w:color w:val="auto"/>
          <w:position w:val="0"/>
          <w:sz w:val="32"/>
          <w:szCs w:val="32"/>
          <w:rFonts w:ascii="仿宋" w:eastAsia="仿宋" w:hAnsi="仿宋" w:hint="default"/>
        </w:rPr>
        <w:autoSpaceDE w:val="0"/>
        <w:autoSpaceDN w:val="0"/>
      </w:pPr>
      <w:r>
        <w:rPr>
          <w:color w:val="auto"/>
          <w:position w:val="0"/>
          <w:sz w:val="32"/>
          <w:szCs w:val="32"/>
          <w:rFonts w:ascii="仿宋" w:eastAsia="仿宋" w:hAnsi="仿宋" w:hint="default"/>
        </w:rPr>
        <w:t>组织实施能源统计调查和全县主要能耗行业、重点耗能企业能源使用、节约以及资源循环利用状</w:t>
      </w:r>
      <w:r>
        <w:rPr>
          <w:color w:val="auto"/>
          <w:position w:val="0"/>
          <w:sz w:val="32"/>
          <w:szCs w:val="32"/>
          <w:rFonts w:ascii="仿宋" w:eastAsia="仿宋" w:hAnsi="仿宋" w:hint="default"/>
        </w:rPr>
        <w:t>况的统计监测；搜集、整理和提供有关统计调查数据；检查和评估有关统计数据质量；开展统计分</w:t>
      </w:r>
      <w:r>
        <w:rPr>
          <w:color w:val="auto"/>
          <w:position w:val="0"/>
          <w:sz w:val="32"/>
          <w:szCs w:val="32"/>
          <w:rFonts w:ascii="仿宋" w:eastAsia="仿宋" w:hAnsi="仿宋" w:hint="default"/>
        </w:rPr>
        <w:t>析；组织指导有关统计业务基础建设工作；协助组织经济普查工作。</w:t>
      </w:r>
    </w:p>
    <w:p>
      <w:pPr>
        <w:numPr>
          <w:ilvl w:val="0"/>
          <w:numId w:val="0"/>
        </w:numPr>
        <w:jc w:val="both"/>
        <w:spacing w:lineRule="atLeast" w:line="2" w:before="0" w:after="0"/>
        <w:ind w:right="0" w:firstLine="420"/>
        <w:tabs>
          <w:tab w:val="left" w:pos="420"/>
          <w:tab w:val="left" w:pos="840"/>
          <w:tab w:val="left" w:pos="1260"/>
          <w:tab w:val="left" w:pos="1680"/>
          <w:tab w:val="left" w:pos="2100"/>
          <w:tab w:val="left" w:pos="2520"/>
          <w:tab w:val="left" w:pos="2940"/>
          <w:tab w:val="left" w:pos="3360"/>
          <w:tab w:val="left" w:pos="3780"/>
          <w:tab w:val="left" w:pos="4200"/>
        </w:tabs>
        <w:rPr>
          <w:color w:val="auto"/>
          <w:position w:val="0"/>
          <w:sz w:val="32"/>
          <w:szCs w:val="32"/>
          <w:rFonts w:ascii="仿宋" w:eastAsia="仿宋" w:hAnsi="仿宋" w:hint="default"/>
        </w:rPr>
        <w:autoSpaceDE w:val="0"/>
        <w:autoSpaceDN w:val="0"/>
      </w:pPr>
      <w:r>
        <w:rPr>
          <w:color w:val="auto"/>
          <w:position w:val="0"/>
          <w:sz w:val="32"/>
          <w:szCs w:val="32"/>
          <w:rFonts w:ascii="仿宋" w:eastAsia="仿宋" w:hAnsi="仿宋" w:hint="default"/>
        </w:rPr>
        <w:t>（四）社会科</w:t>
      </w:r>
    </w:p>
    <w:p>
      <w:pPr>
        <w:numPr>
          <w:ilvl w:val="0"/>
          <w:numId w:val="0"/>
        </w:numPr>
        <w:jc w:val="both"/>
        <w:spacing w:lineRule="atLeast" w:line="2" w:before="0" w:after="0"/>
        <w:ind w:right="0" w:firstLine="420"/>
        <w:tabs>
          <w:tab w:val="left" w:pos="420"/>
          <w:tab w:val="left" w:pos="840"/>
          <w:tab w:val="left" w:pos="1260"/>
          <w:tab w:val="left" w:pos="1680"/>
          <w:tab w:val="left" w:pos="2100"/>
          <w:tab w:val="left" w:pos="2520"/>
          <w:tab w:val="left" w:pos="2940"/>
          <w:tab w:val="left" w:pos="3360"/>
          <w:tab w:val="left" w:pos="3780"/>
          <w:tab w:val="left" w:pos="4200"/>
        </w:tabs>
        <w:rPr>
          <w:color w:val="auto"/>
          <w:position w:val="0"/>
          <w:sz w:val="32"/>
          <w:szCs w:val="32"/>
          <w:rFonts w:ascii="仿宋" w:eastAsia="仿宋" w:hAnsi="仿宋" w:hint="default"/>
        </w:rPr>
        <w:autoSpaceDE w:val="0"/>
        <w:autoSpaceDN w:val="0"/>
      </w:pPr>
      <w:r>
        <w:rPr>
          <w:color w:val="auto"/>
          <w:position w:val="0"/>
          <w:sz w:val="32"/>
          <w:szCs w:val="32"/>
          <w:rFonts w:ascii="仿宋" w:eastAsia="仿宋" w:hAnsi="仿宋" w:hint="default"/>
        </w:rPr>
        <w:t>组织实施批发和零售业、住宿和餐饮业、限额以上餐饮业能源消费、商品市场运行状况、成品油流</w:t>
      </w:r>
      <w:r>
        <w:rPr>
          <w:color w:val="auto"/>
          <w:position w:val="0"/>
          <w:sz w:val="32"/>
          <w:szCs w:val="32"/>
          <w:rFonts w:ascii="仿宋" w:eastAsia="仿宋" w:hAnsi="仿宋" w:hint="default"/>
        </w:rPr>
        <w:t>通和外商投资、对外借款、工业园区和产业聚集区主要经济指标的统计调查，搜集、整理和提供统计</w:t>
      </w:r>
      <w:r>
        <w:rPr>
          <w:color w:val="auto"/>
          <w:position w:val="0"/>
          <w:sz w:val="32"/>
          <w:szCs w:val="32"/>
          <w:rFonts w:ascii="仿宋" w:eastAsia="仿宋" w:hAnsi="仿宋" w:hint="default"/>
        </w:rPr>
        <w:t>调查数据；综合整理和提供对外贸易、国际旅游、境外投资、涉外税收、银行结售汇、对外经济技术</w:t>
      </w:r>
      <w:r>
        <w:rPr>
          <w:color w:val="auto"/>
          <w:position w:val="0"/>
          <w:sz w:val="32"/>
          <w:szCs w:val="32"/>
          <w:rFonts w:ascii="仿宋" w:eastAsia="仿宋" w:hAnsi="仿宋" w:hint="default"/>
        </w:rPr>
        <w:t>合作、商检、对内经济技术合作、引进内资等统计数据；检查和评估统计数据质量；开展统计分析；</w:t>
      </w:r>
      <w:r>
        <w:rPr>
          <w:color w:val="auto"/>
          <w:position w:val="0"/>
          <w:sz w:val="32"/>
          <w:szCs w:val="32"/>
          <w:rFonts w:ascii="仿宋" w:eastAsia="仿宋" w:hAnsi="仿宋" w:hint="default"/>
        </w:rPr>
        <w:t>组织指导有关统计业务基础建设工作；协助组织经济普查工作。组织实施人口抽样调查、劳动、工资、</w:t>
      </w:r>
      <w:r>
        <w:rPr>
          <w:color w:val="auto"/>
          <w:position w:val="0"/>
          <w:sz w:val="32"/>
          <w:szCs w:val="32"/>
          <w:rFonts w:ascii="仿宋" w:eastAsia="仿宋" w:hAnsi="仿宋" w:hint="default"/>
        </w:rPr>
        <w:t>城镇就业、城镇私营企业调查、社会、R&amp;D资源清查、科技、高新技术产业、文化产业、人才资源统计</w:t>
      </w:r>
      <w:r>
        <w:rPr>
          <w:color w:val="auto"/>
          <w:position w:val="0"/>
          <w:sz w:val="32"/>
          <w:szCs w:val="32"/>
          <w:rFonts w:ascii="仿宋" w:eastAsia="仿宋" w:hAnsi="仿宋" w:hint="default"/>
        </w:rPr>
        <w:t>调查和城镇人口、妇女儿童统计监测、社会发展水平综合评价、协助人口普查工作，收集、整理和提</w:t>
      </w:r>
      <w:r>
        <w:rPr>
          <w:color w:val="auto"/>
          <w:position w:val="0"/>
          <w:sz w:val="32"/>
          <w:szCs w:val="32"/>
          <w:rFonts w:ascii="仿宋" w:eastAsia="仿宋" w:hAnsi="仿宋" w:hint="default"/>
        </w:rPr>
        <w:t>供统计调查数据；综合整理和提供公安、计生、劳动和社会保障及福利业、广播电视、出版、档案、环</w:t>
      </w:r>
      <w:r>
        <w:rPr>
          <w:color w:val="auto"/>
          <w:position w:val="0"/>
          <w:sz w:val="32"/>
          <w:szCs w:val="32"/>
          <w:rFonts w:ascii="仿宋" w:eastAsia="仿宋" w:hAnsi="仿宋" w:hint="default"/>
        </w:rPr>
        <w:t>保、民政、司法等统计数据；检查和评估统计数据质量；开展统计分析；组织指导有关统计业务基础</w:t>
      </w:r>
      <w:r>
        <w:rPr>
          <w:color w:val="auto"/>
          <w:position w:val="0"/>
          <w:sz w:val="32"/>
          <w:szCs w:val="32"/>
          <w:rFonts w:ascii="仿宋" w:eastAsia="仿宋" w:hAnsi="仿宋" w:hint="default"/>
        </w:rPr>
        <w:t>建设工作；组织实施建筑业、房地产业、固定资产投资统计调查，搜集、整理和提供统计调查数据；</w:t>
      </w:r>
      <w:r>
        <w:rPr>
          <w:color w:val="auto"/>
          <w:position w:val="0"/>
          <w:sz w:val="32"/>
          <w:szCs w:val="32"/>
          <w:rFonts w:ascii="仿宋" w:eastAsia="仿宋" w:hAnsi="仿宋" w:hint="default"/>
        </w:rPr>
        <w:t>检查和评估统计数据质量；开展统计分析；组织指导有关统计业务基础建设工作；协助组织经济普查</w:t>
      </w:r>
      <w:r>
        <w:rPr>
          <w:color w:val="auto"/>
          <w:position w:val="0"/>
          <w:sz w:val="32"/>
          <w:szCs w:val="32"/>
          <w:rFonts w:ascii="仿宋" w:eastAsia="仿宋" w:hAnsi="仿宋" w:hint="default"/>
        </w:rPr>
        <w:t>工作。组织实施交通运输业、仓储和邮政业，信息传输、计算机服务和软件业，金融业，租赁和商务</w:t>
      </w:r>
      <w:r>
        <w:rPr>
          <w:color w:val="auto"/>
          <w:position w:val="0"/>
          <w:sz w:val="32"/>
          <w:szCs w:val="32"/>
          <w:rFonts w:ascii="仿宋" w:eastAsia="仿宋" w:hAnsi="仿宋" w:hint="default"/>
        </w:rPr>
        <w:t>服务业，科学研究、技术服务和地质勘查业，水利、环境和公共设施管理业，居民服务和其他服务业，</w:t>
      </w:r>
      <w:r>
        <w:rPr>
          <w:color w:val="auto"/>
          <w:position w:val="0"/>
          <w:sz w:val="32"/>
          <w:szCs w:val="32"/>
          <w:rFonts w:ascii="仿宋" w:eastAsia="仿宋" w:hAnsi="仿宋" w:hint="default"/>
        </w:rPr>
        <w:t>教育、卫生、文化、体育和娱乐业，公共管理和社会组织、服务业个体经营户、交通运输业能源消费</w:t>
      </w:r>
      <w:r>
        <w:rPr>
          <w:color w:val="auto"/>
          <w:position w:val="0"/>
          <w:sz w:val="32"/>
          <w:szCs w:val="32"/>
          <w:rFonts w:ascii="仿宋" w:eastAsia="仿宋" w:hAnsi="仿宋" w:hint="default"/>
        </w:rPr>
        <w:t>的统计调查，搜集、整理和提供统计调查数据；检查和评估统计数据质量；开展统计分析；组织指导</w:t>
      </w:r>
      <w:r>
        <w:rPr>
          <w:color w:val="auto"/>
          <w:position w:val="0"/>
          <w:sz w:val="32"/>
          <w:szCs w:val="32"/>
          <w:rFonts w:ascii="仿宋" w:eastAsia="仿宋" w:hAnsi="仿宋" w:hint="default"/>
        </w:rPr>
        <w:t>有关统计业务基础建设工作；协助组织经济普查工作。</w:t>
      </w:r>
    </w:p>
    <w:p>
      <w:pPr>
        <w:numPr>
          <w:ilvl w:val="0"/>
          <w:numId w:val="0"/>
        </w:numPr>
        <w:jc w:val="both"/>
        <w:spacing w:lineRule="atLeast" w:line="2" w:before="0" w:after="0"/>
        <w:ind w:right="0" w:firstLine="420"/>
        <w:tabs>
          <w:tab w:val="left" w:pos="420"/>
          <w:tab w:val="left" w:pos="840"/>
          <w:tab w:val="left" w:pos="1260"/>
          <w:tab w:val="left" w:pos="1680"/>
          <w:tab w:val="left" w:pos="2100"/>
          <w:tab w:val="left" w:pos="2520"/>
          <w:tab w:val="left" w:pos="2940"/>
          <w:tab w:val="left" w:pos="3360"/>
          <w:tab w:val="left" w:pos="3780"/>
          <w:tab w:val="left" w:pos="4200"/>
        </w:tabs>
        <w:rPr>
          <w:color w:val="auto"/>
          <w:position w:val="0"/>
          <w:sz w:val="32"/>
          <w:szCs w:val="32"/>
          <w:rFonts w:ascii="仿宋" w:eastAsia="仿宋" w:hAnsi="仿宋" w:hint="default"/>
        </w:rPr>
        <w:autoSpaceDE w:val="0"/>
        <w:autoSpaceDN w:val="0"/>
      </w:pPr>
      <w:r>
        <w:rPr>
          <w:color w:val="auto"/>
          <w:position w:val="0"/>
          <w:sz w:val="32"/>
          <w:szCs w:val="32"/>
          <w:rFonts w:ascii="仿宋" w:eastAsia="仿宋" w:hAnsi="仿宋" w:hint="default"/>
        </w:rPr>
        <w:t>（五）农业科</w:t>
      </w:r>
    </w:p>
    <w:p>
      <w:pPr>
        <w:numPr>
          <w:ilvl w:val="0"/>
          <w:numId w:val="0"/>
        </w:numPr>
        <w:jc w:val="both"/>
        <w:spacing w:lineRule="atLeast" w:line="2" w:before="0" w:after="0"/>
        <w:ind w:right="0" w:firstLine="420"/>
        <w:tabs>
          <w:tab w:val="left" w:pos="420"/>
          <w:tab w:val="left" w:pos="840"/>
          <w:tab w:val="left" w:pos="1260"/>
          <w:tab w:val="left" w:pos="1680"/>
          <w:tab w:val="left" w:pos="2100"/>
          <w:tab w:val="left" w:pos="2520"/>
          <w:tab w:val="left" w:pos="2940"/>
          <w:tab w:val="left" w:pos="3360"/>
          <w:tab w:val="left" w:pos="3780"/>
          <w:tab w:val="left" w:pos="4200"/>
        </w:tabs>
        <w:rPr>
          <w:color w:val="auto"/>
          <w:position w:val="0"/>
          <w:sz w:val="32"/>
          <w:szCs w:val="32"/>
          <w:rFonts w:ascii="仿宋" w:eastAsia="仿宋" w:hAnsi="仿宋" w:hint="default"/>
        </w:rPr>
        <w:autoSpaceDE w:val="0"/>
        <w:autoSpaceDN w:val="0"/>
      </w:pPr>
      <w:r>
        <w:rPr>
          <w:color w:val="auto"/>
          <w:position w:val="0"/>
          <w:sz w:val="32"/>
          <w:szCs w:val="32"/>
          <w:rFonts w:ascii="仿宋" w:eastAsia="仿宋" w:hAnsi="仿宋" w:hint="default"/>
        </w:rPr>
        <w:t>组织农林牧渔业、农业产值、农产品产量、县和乡村社会经济基本情况、农业产业化、农村住户、农</w:t>
      </w:r>
      <w:r>
        <w:rPr>
          <w:color w:val="auto"/>
          <w:position w:val="0"/>
          <w:sz w:val="32"/>
          <w:szCs w:val="32"/>
          <w:rFonts w:ascii="仿宋" w:eastAsia="仿宋" w:hAnsi="仿宋" w:hint="default"/>
        </w:rPr>
        <w:t>林牧渔业生产经营单位能源消费统计调查；承担农村社会经济运行、农村小康建设进程、农村贫困统</w:t>
      </w:r>
      <w:r>
        <w:rPr>
          <w:color w:val="auto"/>
          <w:position w:val="0"/>
          <w:sz w:val="32"/>
          <w:szCs w:val="32"/>
          <w:rFonts w:ascii="仿宋" w:eastAsia="仿宋" w:hAnsi="仿宋" w:hint="default"/>
        </w:rPr>
        <w:t>计监测，以及农业、农村经济综合实力评价工作；搜集、整理、提供和发布农村社会经济统计调查数</w:t>
      </w:r>
      <w:r>
        <w:rPr>
          <w:color w:val="auto"/>
          <w:position w:val="0"/>
          <w:sz w:val="32"/>
          <w:szCs w:val="32"/>
          <w:rFonts w:ascii="仿宋" w:eastAsia="仿宋" w:hAnsi="仿宋" w:hint="default"/>
        </w:rPr>
        <w:t>据；检查和评估统计调查数据质量；开展统计分析；组织指导有关统计业务基础建设工作，协助组织</w:t>
      </w:r>
      <w:r>
        <w:rPr>
          <w:color w:val="auto"/>
          <w:position w:val="0"/>
          <w:sz w:val="32"/>
          <w:szCs w:val="32"/>
          <w:rFonts w:ascii="仿宋" w:eastAsia="仿宋" w:hAnsi="仿宋" w:hint="default"/>
        </w:rPr>
        <w:t>农业普查工作。</w:t>
      </w:r>
    </w:p>
    <w:p>
      <w:pPr>
        <w:numPr>
          <w:ilvl w:val="0"/>
          <w:numId w:val="0"/>
        </w:numPr>
        <w:jc w:val="both"/>
        <w:spacing w:lineRule="atLeast" w:line="2" w:before="0" w:after="0"/>
        <w:ind w:right="0" w:firstLine="640"/>
        <w:rPr>
          <w:color w:val="auto"/>
          <w:position w:val="0"/>
          <w:sz w:val="32"/>
          <w:szCs w:val="32"/>
          <w:rFonts w:ascii="仿宋" w:eastAsia="仿宋" w:hAnsi="仿宋" w:hint="default"/>
        </w:rPr>
        <w:outlineLvl w:val="0"/>
        <w:autoSpaceDE w:val="1"/>
        <w:autoSpaceDN w:val="1"/>
      </w:pPr>
      <w:r>
        <w:rPr>
          <w:color w:val="auto"/>
          <w:position w:val="0"/>
          <w:sz w:val="32"/>
          <w:szCs w:val="32"/>
          <w:rFonts w:ascii="仿宋" w:eastAsia="仿宋" w:hAnsi="仿宋" w:hint="default"/>
        </w:rPr>
        <w:t>负责搜集、整理、审核城镇、农村住户抽样调查，不定期对记账户进行培训和业务指导，检查和</w:t>
      </w:r>
      <w:r>
        <w:rPr>
          <w:color w:val="auto"/>
          <w:position w:val="0"/>
          <w:sz w:val="32"/>
          <w:szCs w:val="32"/>
          <w:rFonts w:ascii="仿宋" w:eastAsia="仿宋" w:hAnsi="仿宋" w:hint="default"/>
        </w:rPr>
        <w:t>评估统计数据质量；组织指导有关统计业务基础建设工作，对调查户资料进行严格保密，同时，负责</w:t>
      </w:r>
      <w:r>
        <w:rPr>
          <w:color w:val="auto"/>
          <w:position w:val="0"/>
          <w:sz w:val="32"/>
          <w:szCs w:val="32"/>
          <w:rFonts w:ascii="仿宋" w:eastAsia="仿宋" w:hAnsi="仿宋" w:hint="default"/>
        </w:rPr>
        <w:t>企业工业产品价格统计搜集、整理上报，检查、评估统计数据质量，撰写统计分析。</w:t>
      </w:r>
    </w:p>
    <w:p>
      <w:pPr>
        <w:numPr>
          <w:ilvl w:val="0"/>
          <w:numId w:val="0"/>
        </w:numPr>
        <w:jc w:val="both"/>
        <w:spacing w:lineRule="auto" w:line="240" w:before="0" w:after="0"/>
        <w:ind w:right="0" w:firstLine="0"/>
        <w:rPr>
          <w:color w:val="auto"/>
          <w:position w:val="0"/>
          <w:sz w:val="21"/>
          <w:szCs w:val="21"/>
          <w:rFonts w:ascii="仿宋" w:eastAsia="仿宋" w:hAnsi="仿宋" w:hint="default"/>
        </w:rPr>
        <w:autoSpaceDE w:val="1"/>
        <w:autoSpaceDN w:val="1"/>
      </w:pPr>
    </w:p>
    <w:p>
      <w:pPr>
        <w:numPr>
          <w:ilvl w:val="0"/>
          <w:numId w:val="0"/>
        </w:numPr>
        <w:jc w:val="both"/>
        <w:spacing w:lineRule="atLeast" w:line="240" w:before="0" w:after="0"/>
        <w:ind w:right="0" w:firstLine="363"/>
        <w:rPr>
          <w:spacing w:val="0"/>
          <w:vertAlign w:val="baseline"/>
          <w:i w:val="0"/>
          <w:b w:val="1"/>
          <w:imprint w:val="0"/>
          <w:emboss w:val="0"/>
          <w:outline w:val="0"/>
          <w:shadow w:val="0"/>
          <w:color w:val="auto"/>
          <w:position w:val="0"/>
          <w:sz w:val="32"/>
          <w:szCs w:val="32"/>
          <w:u w:val="none"/>
          <w:smallCaps w:val="0"/>
          <w:rFonts w:ascii="??" w:eastAsia="Calibri" w:hAnsi="Calibri" w:hint="default"/>
        </w:rPr>
        <w:autoSpaceDE w:val="1"/>
        <w:autoSpaceDN w:val="1"/>
      </w:pPr>
      <w:r>
        <w:rPr>
          <w:spacing w:val="0"/>
          <w:vertAlign w:val="baseline"/>
          <w:i w:val="0"/>
          <w:b w:val="1"/>
          <w:imprint w:val="0"/>
          <w:emboss w:val="0"/>
          <w:outline w:val="0"/>
          <w:shadow w:val="0"/>
          <w:color w:val="auto"/>
          <w:position w:val="0"/>
          <w:sz w:val="32"/>
          <w:szCs w:val="32"/>
          <w:u w:val="none"/>
          <w:smallCaps w:val="0"/>
          <w:rFonts w:ascii="??" w:eastAsia="Calibri" w:hAnsi="Calibri" w:hint="default"/>
        </w:rPr>
        <w:t>二、部门预算安排的总体情况</w:t>
      </w:r>
    </w:p>
    <w:p>
      <w:pPr>
        <w:numPr>
          <w:ilvl w:val="0"/>
          <w:numId w:val="0"/>
        </w:numPr>
        <w:jc w:val="both"/>
        <w:spacing w:lineRule="auto" w:line="240" w:before="0" w:after="0"/>
        <w:ind w:right="0" w:firstLine="640"/>
        <w:rPr>
          <w:color w:val="auto"/>
          <w:position w:val="0"/>
          <w:sz w:val="32"/>
          <w:szCs w:val="32"/>
          <w:rFonts w:ascii="Times New Roman" w:eastAsia="Times New Roman" w:hAnsi="Times New Roman" w:hint="default"/>
        </w:rPr>
        <w:autoSpaceDE w:val="1"/>
        <w:autoSpaceDN w:val="1"/>
      </w:pPr>
      <w:r>
        <w:rPr>
          <w:color w:val="auto"/>
          <w:position w:val="0"/>
          <w:sz w:val="32"/>
          <w:szCs w:val="32"/>
          <w:rFonts w:ascii="Times New Roman" w:eastAsia="Times New Roman" w:hAnsi="Times New Roman" w:hint="default"/>
        </w:rPr>
        <w:t>按照预算管理有关规定，目前我县部门预算的编制实行综合预算管理，即全部收入和支出都反映</w:t>
      </w:r>
      <w:r>
        <w:rPr>
          <w:color w:val="auto"/>
          <w:position w:val="0"/>
          <w:sz w:val="32"/>
          <w:szCs w:val="32"/>
          <w:rFonts w:ascii="Times New Roman" w:eastAsia="Times New Roman" w:hAnsi="Times New Roman" w:hint="default"/>
        </w:rPr>
        <w:t>的预算中。安平县统计局及所属事业单位的收支包含在部门预算中。</w:t>
      </w:r>
    </w:p>
    <w:p>
      <w:pPr>
        <w:numPr>
          <w:ilvl w:val="0"/>
          <w:numId w:val="0"/>
        </w:numPr>
        <w:jc w:val="both"/>
        <w:spacing w:lineRule="auto" w:line="240" w:before="0" w:after="0"/>
        <w:ind w:right="0" w:firstLine="640"/>
        <w:rPr>
          <w:color w:val="auto"/>
          <w:position w:val="0"/>
          <w:sz w:val="32"/>
          <w:szCs w:val="32"/>
          <w:rFonts w:ascii="Times New Roman" w:eastAsia="Times New Roman" w:hAnsi="Times New Roman" w:hint="default"/>
        </w:rPr>
        <w:autoSpaceDE w:val="1"/>
        <w:autoSpaceDN w:val="1"/>
      </w:pPr>
      <w:r>
        <w:rPr>
          <w:color w:val="auto"/>
          <w:position w:val="0"/>
          <w:sz w:val="32"/>
          <w:szCs w:val="32"/>
          <w:rFonts w:ascii="Times New Roman" w:eastAsia="Times New Roman" w:hAnsi="Times New Roman" w:hint="default"/>
        </w:rPr>
        <w:t>1、收入说明</w:t>
      </w:r>
    </w:p>
    <w:p>
      <w:pPr>
        <w:numPr>
          <w:ilvl w:val="0"/>
          <w:numId w:val="0"/>
        </w:numPr>
        <w:jc w:val="both"/>
        <w:spacing w:lineRule="auto" w:line="240" w:before="0" w:after="0"/>
        <w:ind w:right="0" w:firstLine="640"/>
        <w:rPr>
          <w:color w:val="auto"/>
          <w:position w:val="0"/>
          <w:sz w:val="32"/>
          <w:szCs w:val="32"/>
          <w:rFonts w:ascii="Times New Roman" w:eastAsia="Times New Roman" w:hAnsi="Times New Roman" w:hint="default"/>
        </w:rPr>
        <w:autoSpaceDE w:val="1"/>
        <w:autoSpaceDN w:val="1"/>
      </w:pPr>
      <w:r>
        <w:rPr>
          <w:color w:val="auto"/>
          <w:position w:val="0"/>
          <w:sz w:val="32"/>
          <w:szCs w:val="32"/>
          <w:rFonts w:ascii="Times New Roman" w:eastAsia="Times New Roman" w:hAnsi="Times New Roman" w:hint="default"/>
        </w:rPr>
        <w:t>反映本部门当年全部收入。2019年预算收入569.61万元，其中：一般公共预算收入569.61万元，</w:t>
      </w:r>
      <w:r>
        <w:rPr>
          <w:color w:val="auto"/>
          <w:position w:val="0"/>
          <w:sz w:val="32"/>
          <w:szCs w:val="32"/>
          <w:rFonts w:ascii="Times New Roman" w:eastAsia="Times New Roman" w:hAnsi="Times New Roman" w:hint="default"/>
        </w:rPr>
        <w:t>基金预算收入0万元，财政专户核拨收入0万元，其他来源收入0万元。</w:t>
      </w:r>
    </w:p>
    <w:p>
      <w:pPr>
        <w:numPr>
          <w:ilvl w:val="0"/>
          <w:numId w:val="0"/>
        </w:numPr>
        <w:jc w:val="both"/>
        <w:spacing w:lineRule="auto" w:line="240" w:before="0" w:after="0"/>
        <w:ind w:right="0" w:firstLine="640"/>
        <w:rPr>
          <w:color w:val="auto"/>
          <w:position w:val="0"/>
          <w:sz w:val="32"/>
          <w:szCs w:val="32"/>
          <w:rFonts w:ascii="Times New Roman" w:eastAsia="Times New Roman" w:hAnsi="Times New Roman" w:hint="default"/>
        </w:rPr>
        <w:autoSpaceDE w:val="1"/>
        <w:autoSpaceDN w:val="1"/>
      </w:pPr>
      <w:r>
        <w:rPr>
          <w:color w:val="auto"/>
          <w:position w:val="0"/>
          <w:sz w:val="32"/>
          <w:szCs w:val="32"/>
          <w:rFonts w:ascii="Times New Roman" w:eastAsia="Times New Roman" w:hAnsi="Times New Roman" w:hint="default"/>
        </w:rPr>
        <w:t>2、支出说明</w:t>
      </w:r>
    </w:p>
    <w:p>
      <w:pPr>
        <w:numPr>
          <w:ilvl w:val="0"/>
          <w:numId w:val="0"/>
        </w:numPr>
        <w:jc w:val="both"/>
        <w:spacing w:lineRule="auto" w:line="240" w:before="0" w:after="0"/>
        <w:ind w:right="0" w:firstLine="640"/>
        <w:rPr>
          <w:color w:val="auto"/>
          <w:position w:val="0"/>
          <w:sz w:val="32"/>
          <w:szCs w:val="32"/>
          <w:rFonts w:ascii="Times New Roman" w:eastAsia="Times New Roman" w:hAnsi="Times New Roman" w:hint="default"/>
        </w:rPr>
        <w:autoSpaceDE w:val="1"/>
        <w:autoSpaceDN w:val="1"/>
      </w:pPr>
      <w:r>
        <w:rPr>
          <w:color w:val="auto"/>
          <w:position w:val="0"/>
          <w:sz w:val="32"/>
          <w:szCs w:val="32"/>
          <w:rFonts w:ascii="Times New Roman" w:eastAsia="Times New Roman" w:hAnsi="Times New Roman" w:hint="default"/>
        </w:rPr>
        <w:t>收支预算总表支出栏、基本支出表、项目支出表按经济分类和支出功能分类科目编制，反映安平</w:t>
      </w:r>
      <w:r>
        <w:rPr>
          <w:color w:val="auto"/>
          <w:position w:val="0"/>
          <w:sz w:val="32"/>
          <w:szCs w:val="32"/>
          <w:rFonts w:ascii="Times New Roman" w:eastAsia="Times New Roman" w:hAnsi="Times New Roman" w:hint="default"/>
        </w:rPr>
        <w:t>县统计局年度部门预算中支出预算的总体情况。2019年部门支出预算为569.61万元，其中基本支出</w:t>
      </w:r>
      <w:r>
        <w:rPr>
          <w:color w:val="auto"/>
          <w:position w:val="0"/>
          <w:sz w:val="32"/>
          <w:szCs w:val="32"/>
          <w:rFonts w:ascii="Times New Roman" w:eastAsia="Times New Roman" w:hAnsi="Times New Roman" w:hint="default"/>
        </w:rPr>
        <w:t>334.61万元，包括人员经费309.58万元和日常公用经费25.03万元；项目支出235万元，主要为，国情</w:t>
      </w:r>
      <w:r>
        <w:rPr>
          <w:color w:val="auto"/>
          <w:position w:val="0"/>
          <w:sz w:val="32"/>
          <w:szCs w:val="32"/>
          <w:rFonts w:ascii="Times New Roman" w:eastAsia="Times New Roman" w:hAnsi="Times New Roman" w:hint="default"/>
        </w:rPr>
        <w:t>国力普查150万元；专项统计调查85万元。</w:t>
      </w:r>
    </w:p>
    <w:p>
      <w:pPr>
        <w:numPr>
          <w:ilvl w:val="0"/>
          <w:numId w:val="0"/>
        </w:numPr>
        <w:jc w:val="both"/>
        <w:spacing w:lineRule="auto" w:line="240" w:before="0" w:after="0"/>
        <w:ind w:right="0" w:firstLine="640"/>
        <w:rPr>
          <w:color w:val="auto"/>
          <w:position w:val="0"/>
          <w:sz w:val="32"/>
          <w:szCs w:val="32"/>
          <w:rFonts w:ascii="Times New Roman" w:eastAsia="Times New Roman" w:hAnsi="Times New Roman" w:hint="default"/>
        </w:rPr>
        <w:autoSpaceDE w:val="1"/>
        <w:autoSpaceDN w:val="1"/>
      </w:pPr>
      <w:r>
        <w:rPr>
          <w:color w:val="auto"/>
          <w:position w:val="0"/>
          <w:sz w:val="32"/>
          <w:szCs w:val="32"/>
          <w:rFonts w:ascii="Times New Roman" w:eastAsia="Times New Roman" w:hAnsi="Times New Roman" w:hint="default"/>
        </w:rPr>
        <w:t>3、</w:t>
      </w:r>
      <w:r>
        <w:rPr>
          <w:color w:val="auto"/>
          <w:position w:val="0"/>
          <w:sz w:val="32"/>
          <w:szCs w:val="32"/>
          <w:rFonts w:ascii="宋体" w:eastAsia="Calibri" w:hAnsi="Calibri" w:hint="default"/>
        </w:rPr>
        <w:t>比上年增减情况</w:t>
      </w:r>
    </w:p>
    <w:p>
      <w:pPr>
        <w:numPr>
          <w:ilvl w:val="0"/>
          <w:numId w:val="0"/>
        </w:numPr>
        <w:jc w:val="both"/>
        <w:spacing w:lineRule="auto" w:line="240" w:before="0" w:after="0"/>
        <w:ind w:right="0" w:firstLine="640"/>
        <w:rPr>
          <w:color w:val="000000"/>
          <w:position w:val="0"/>
          <w:sz w:val="32"/>
          <w:szCs w:val="32"/>
          <w:rFonts w:ascii="Times New Roman" w:eastAsia="Times New Roman" w:hAnsi="Times New Roman" w:hint="default"/>
        </w:rPr>
        <w:autoSpaceDE w:val="1"/>
        <w:autoSpaceDN w:val="1"/>
      </w:pPr>
      <w:r>
        <w:rPr>
          <w:color w:val="000000"/>
          <w:position w:val="0"/>
          <w:sz w:val="32"/>
          <w:szCs w:val="32"/>
          <w:rFonts w:ascii="Times New Roman" w:eastAsia="Times New Roman" w:hAnsi="Times New Roman" w:hint="default"/>
        </w:rPr>
        <w:t>2019年部门预算收支安排569.61万元，较2018年增长177.65万元，其中：人员工资</w:t>
      </w:r>
      <w:r>
        <w:rPr>
          <w:color w:val="000000"/>
          <w:position w:val="0"/>
          <w:sz w:val="32"/>
          <w:szCs w:val="32"/>
          <w:rFonts w:ascii="Times New Roman" w:eastAsia="Calibri" w:hAnsi="Calibri" w:hint="default"/>
        </w:rPr>
        <w:t>、</w:t>
      </w:r>
      <w:r>
        <w:rPr>
          <w:color w:val="000000"/>
          <w:position w:val="0"/>
          <w:sz w:val="32"/>
          <w:szCs w:val="32"/>
          <w:rFonts w:ascii="Times New Roman" w:eastAsia="Times New Roman" w:hAnsi="Times New Roman" w:hint="default"/>
        </w:rPr>
        <w:t>国情国力普</w:t>
      </w:r>
      <w:r>
        <w:rPr>
          <w:color w:val="000000"/>
          <w:position w:val="0"/>
          <w:sz w:val="32"/>
          <w:szCs w:val="32"/>
          <w:rFonts w:ascii="Times New Roman" w:eastAsia="Times New Roman" w:hAnsi="Times New Roman" w:hint="default"/>
        </w:rPr>
        <w:t>查和统计抽样调查经费增加。</w:t>
      </w:r>
    </w:p>
    <w:p>
      <w:pPr>
        <w:numPr>
          <w:ilvl w:val="0"/>
          <w:numId w:val="0"/>
        </w:numPr>
        <w:jc w:val="both"/>
        <w:spacing w:lineRule="atLeast" w:line="240" w:before="0" w:after="0"/>
        <w:ind w:right="0" w:firstLine="363"/>
        <w:rPr>
          <w:spacing w:val="0"/>
          <w:vertAlign w:val="baseline"/>
          <w:i w:val="0"/>
          <w:b w:val="1"/>
          <w:imprint w:val="0"/>
          <w:emboss w:val="0"/>
          <w:outline w:val="0"/>
          <w:shadow w:val="0"/>
          <w:color w:val="auto"/>
          <w:position w:val="0"/>
          <w:sz w:val="32"/>
          <w:szCs w:val="32"/>
          <w:u w:val="none"/>
          <w:smallCaps w:val="0"/>
          <w:rFonts w:ascii="??" w:eastAsia="Calibri" w:hAnsi="Calibri" w:hint="default"/>
        </w:rPr>
        <w:autoSpaceDE w:val="0"/>
        <w:autoSpaceDN w:val="0"/>
      </w:pPr>
      <w:r>
        <w:rPr>
          <w:spacing w:val="0"/>
          <w:vertAlign w:val="baseline"/>
          <w:i w:val="0"/>
          <w:b w:val="1"/>
          <w:imprint w:val="0"/>
          <w:emboss w:val="0"/>
          <w:outline w:val="0"/>
          <w:shadow w:val="0"/>
          <w:color w:val="auto"/>
          <w:position w:val="0"/>
          <w:sz w:val="32"/>
          <w:szCs w:val="32"/>
          <w:u w:val="none"/>
          <w:smallCaps w:val="0"/>
          <w:rFonts w:ascii="??" w:eastAsia="Calibri" w:hAnsi="Calibri" w:hint="default"/>
        </w:rPr>
        <w:t>三、机关运行经费安排情况</w:t>
      </w:r>
    </w:p>
    <w:p>
      <w:pPr>
        <w:numPr>
          <w:ilvl w:val="0"/>
          <w:numId w:val="0"/>
        </w:numPr>
        <w:jc w:val="left"/>
        <w:spacing w:lineRule="auto" w:line="240" w:before="0" w:after="0"/>
        <w:ind w:left="198" w:right="0" w:firstLine="641"/>
        <w:rPr>
          <w:color w:val="auto"/>
          <w:position w:val="0"/>
          <w:sz w:val="32"/>
          <w:szCs w:val="32"/>
          <w:rFonts w:ascii="Times New Roman" w:eastAsia="Times New Roman" w:hAnsi="Times New Roman" w:hint="default"/>
        </w:rPr>
        <w:autoSpaceDE w:val="0"/>
        <w:autoSpaceDN w:val="0"/>
      </w:pPr>
      <w:r>
        <w:rPr>
          <w:color w:val="auto"/>
          <w:position w:val="0"/>
          <w:sz w:val="32"/>
          <w:szCs w:val="32"/>
          <w:rFonts w:ascii="Times New Roman" w:eastAsia="Times New Roman" w:hAnsi="Times New Roman" w:hint="default"/>
        </w:rPr>
        <w:t>2019年，我部门机关运行经费共计安排25.03万元，主要用于保证机关正常运转的办公及印刷</w:t>
      </w:r>
      <w:r>
        <w:rPr>
          <w:color w:val="auto"/>
          <w:position w:val="0"/>
          <w:sz w:val="32"/>
          <w:szCs w:val="32"/>
          <w:rFonts w:ascii="Times New Roman" w:eastAsia="Times New Roman" w:hAnsi="Times New Roman" w:hint="default"/>
        </w:rPr>
        <w:t>费、邮电费、差旅费、会议费、福利费、专用材料及一般设备购置费、办公用房水电费、办公用房</w:t>
      </w:r>
      <w:r>
        <w:rPr>
          <w:color w:val="auto"/>
          <w:position w:val="0"/>
          <w:sz w:val="32"/>
          <w:szCs w:val="32"/>
          <w:rFonts w:ascii="Times New Roman" w:eastAsia="Times New Roman" w:hAnsi="Times New Roman" w:hint="default"/>
        </w:rPr>
        <w:t>取暖费、日常维修费、办公楼物业管理费、公务车运行维护费等支出。</w:t>
      </w:r>
    </w:p>
    <w:p>
      <w:pPr>
        <w:numPr>
          <w:ilvl w:val="0"/>
          <w:numId w:val="0"/>
        </w:numPr>
        <w:jc w:val="both"/>
        <w:spacing w:lineRule="atLeast" w:line="240" w:before="0" w:after="0"/>
        <w:ind w:right="0" w:firstLine="363"/>
        <w:rPr>
          <w:spacing w:val="0"/>
          <w:vertAlign w:val="baseline"/>
          <w:i w:val="0"/>
          <w:b w:val="1"/>
          <w:imprint w:val="0"/>
          <w:emboss w:val="0"/>
          <w:outline w:val="0"/>
          <w:shadow w:val="0"/>
          <w:color w:val="auto"/>
          <w:position w:val="0"/>
          <w:sz w:val="32"/>
          <w:szCs w:val="32"/>
          <w:u w:val="none"/>
          <w:smallCaps w:val="0"/>
          <w:rFonts w:ascii="??" w:eastAsia="Calibri" w:hAnsi="Calibri" w:hint="default"/>
        </w:rPr>
        <w:autoSpaceDE w:val="0"/>
        <w:autoSpaceDN w:val="0"/>
      </w:pPr>
      <w:r>
        <w:rPr>
          <w:spacing w:val="0"/>
          <w:vertAlign w:val="baseline"/>
          <w:i w:val="0"/>
          <w:b w:val="1"/>
          <w:imprint w:val="0"/>
          <w:emboss w:val="0"/>
          <w:outline w:val="0"/>
          <w:shadow w:val="0"/>
          <w:color w:val="auto"/>
          <w:position w:val="0"/>
          <w:sz w:val="32"/>
          <w:szCs w:val="32"/>
          <w:u w:val="none"/>
          <w:smallCaps w:val="0"/>
          <w:rFonts w:ascii="??" w:eastAsia="Calibri" w:hAnsi="Calibri" w:hint="default"/>
        </w:rPr>
        <w:t>四、财政拨款“三公”经费预算情况及增减变化原因</w:t>
      </w:r>
    </w:p>
    <w:p>
      <w:pPr>
        <w:numPr>
          <w:ilvl w:val="0"/>
          <w:numId w:val="0"/>
        </w:numPr>
        <w:jc w:val="both"/>
        <w:spacing w:lineRule="auto" w:line="240" w:before="0" w:after="0"/>
        <w:ind w:right="0" w:firstLine="641"/>
        <w:rPr>
          <w:color w:val="000000" w:themeColor="text1"/>
          <w:position w:val="0"/>
          <w:sz w:val="32"/>
          <w:szCs w:val="32"/>
          <w:rFonts w:ascii="Times New Roman" w:eastAsia="Times New Roman" w:hAnsi="Times New Roman" w:hint="default"/>
        </w:rPr>
        <w:autoSpaceDE w:val="1"/>
        <w:autoSpaceDN w:val="1"/>
      </w:pPr>
      <w:r>
        <w:rPr>
          <w:color w:val="000000" w:themeColor="text1"/>
          <w:position w:val="0"/>
          <w:sz w:val="32"/>
          <w:szCs w:val="32"/>
          <w:rFonts w:ascii="Times New Roman" w:eastAsia="Times New Roman" w:hAnsi="Times New Roman" w:hint="default"/>
        </w:rPr>
        <w:t>2019年，财政拨款本部门“三公”经费4.3万元，其中:</w:t>
      </w:r>
    </w:p>
    <w:p>
      <w:pPr>
        <w:numPr>
          <w:ilvl w:val="0"/>
          <w:numId w:val="0"/>
        </w:numPr>
        <w:jc w:val="both"/>
        <w:spacing w:lineRule="auto" w:line="240" w:before="0" w:after="0"/>
        <w:ind w:right="0" w:firstLine="641"/>
        <w:rPr>
          <w:color w:val="auto"/>
          <w:position w:val="0"/>
          <w:sz w:val="32"/>
          <w:szCs w:val="32"/>
          <w:rFonts w:ascii="Times New Roman" w:eastAsia="Times New Roman" w:hAnsi="Times New Roman" w:hint="default"/>
        </w:rPr>
        <w:wordWrap w:val="off"/>
        <w:autoSpaceDE w:val="1"/>
        <w:autoSpaceDN w:val="1"/>
      </w:pPr>
      <w:r>
        <w:rPr>
          <w:color w:val="auto"/>
          <w:position w:val="0"/>
          <w:sz w:val="32"/>
          <w:szCs w:val="32"/>
          <w:rFonts w:ascii="Times New Roman" w:eastAsia="Times New Roman" w:hAnsi="Times New Roman" w:hint="default"/>
        </w:rPr>
        <w:t>因公出国（境）经费0万元,与上年持平,无增减变化；</w:t>
      </w:r>
    </w:p>
    <w:p>
      <w:pPr>
        <w:numPr>
          <w:ilvl w:val="0"/>
          <w:numId w:val="0"/>
        </w:numPr>
        <w:jc w:val="both"/>
        <w:spacing w:lineRule="atLeast" w:line="240" w:before="0" w:after="0"/>
        <w:ind w:right="0" w:firstLine="641"/>
        <w:rPr>
          <w:color w:val="auto"/>
          <w:position w:val="0"/>
          <w:sz w:val="32"/>
          <w:szCs w:val="32"/>
          <w:rFonts w:ascii="Times New Roman" w:eastAsia="Times New Roman" w:hAnsi="Times New Roman" w:hint="default"/>
        </w:rPr>
        <w:wordWrap w:val="off"/>
        <w:autoSpaceDE w:val="1"/>
        <w:autoSpaceDN w:val="1"/>
      </w:pPr>
      <w:r>
        <w:rPr>
          <w:color w:val="auto"/>
          <w:position w:val="0"/>
          <w:sz w:val="32"/>
          <w:szCs w:val="32"/>
          <w:rFonts w:ascii="Times New Roman" w:eastAsia="Times New Roman" w:hAnsi="Times New Roman" w:hint="default"/>
        </w:rPr>
        <w:t>公务用车购置及运行维护费</w:t>
      </w:r>
      <w:r>
        <w:rPr>
          <w:color w:val="auto"/>
          <w:position w:val="0"/>
          <w:sz w:val="32"/>
          <w:szCs w:val="32"/>
          <w:rFonts w:ascii="Times New Roman" w:eastAsia="??" w:hAnsi="??" w:hint="default"/>
        </w:rPr>
        <w:t>3.8</w:t>
      </w:r>
      <w:r>
        <w:rPr>
          <w:color w:val="auto"/>
          <w:position w:val="0"/>
          <w:sz w:val="32"/>
          <w:szCs w:val="32"/>
          <w:rFonts w:ascii="Times New Roman" w:eastAsia="Times New Roman" w:hAnsi="Times New Roman" w:hint="default"/>
        </w:rPr>
        <w:t>万元，其中公务用车购置费0万元，与上年持平,无增减变化；公务</w:t>
      </w:r>
      <w:r>
        <w:rPr>
          <w:color w:val="auto"/>
          <w:position w:val="0"/>
          <w:sz w:val="32"/>
          <w:szCs w:val="32"/>
          <w:rFonts w:ascii="Times New Roman" w:eastAsia="Times New Roman" w:hAnsi="Times New Roman" w:hint="default"/>
        </w:rPr>
        <w:t>用车运行维护费</w:t>
      </w:r>
      <w:r>
        <w:rPr>
          <w:color w:val="auto"/>
          <w:position w:val="0"/>
          <w:sz w:val="32"/>
          <w:szCs w:val="32"/>
          <w:rFonts w:ascii="Times New Roman" w:eastAsia="??" w:hAnsi="??" w:hint="default"/>
        </w:rPr>
        <w:t>3.8</w:t>
      </w:r>
      <w:r>
        <w:rPr>
          <w:color w:val="auto"/>
          <w:position w:val="0"/>
          <w:sz w:val="32"/>
          <w:szCs w:val="32"/>
          <w:rFonts w:ascii="Times New Roman" w:eastAsia="Times New Roman" w:hAnsi="Times New Roman" w:hint="default"/>
        </w:rPr>
        <w:t>万元，与上年</w:t>
      </w:r>
      <w:r>
        <w:rPr>
          <w:color w:val="auto"/>
          <w:position w:val="0"/>
          <w:sz w:val="32"/>
          <w:szCs w:val="32"/>
          <w:rFonts w:ascii="Times New Roman" w:eastAsia="Calibri" w:hAnsi="Calibri" w:hint="default"/>
        </w:rPr>
        <w:t>增加</w:t>
      </w:r>
      <w:r>
        <w:rPr>
          <w:color w:val="auto"/>
          <w:position w:val="0"/>
          <w:sz w:val="32"/>
          <w:szCs w:val="32"/>
          <w:rFonts w:ascii="Times New Roman" w:eastAsia="??" w:hAnsi="??" w:hint="default"/>
        </w:rPr>
        <w:t>2.7</w:t>
      </w:r>
      <w:r>
        <w:rPr>
          <w:color w:val="auto"/>
          <w:position w:val="0"/>
          <w:sz w:val="32"/>
          <w:szCs w:val="32"/>
          <w:rFonts w:ascii="Times New Roman" w:eastAsia="Calibri" w:hAnsi="Calibri" w:hint="default"/>
        </w:rPr>
        <w:t>万元，主要因为2019年增加第四次全国经济普查，用车次数</w:t>
      </w:r>
      <w:r>
        <w:rPr>
          <w:color w:val="auto"/>
          <w:position w:val="0"/>
          <w:sz w:val="32"/>
          <w:szCs w:val="32"/>
          <w:rFonts w:ascii="Times New Roman" w:eastAsia="Calibri" w:hAnsi="Calibri" w:hint="default"/>
        </w:rPr>
        <w:t>增多</w:t>
      </w:r>
      <w:r>
        <w:rPr>
          <w:color w:val="auto"/>
          <w:position w:val="0"/>
          <w:sz w:val="32"/>
          <w:szCs w:val="32"/>
          <w:rFonts w:ascii="Times New Roman" w:eastAsia="Times New Roman" w:hAnsi="Times New Roman" w:hint="default"/>
        </w:rPr>
        <w:t>。</w:t>
      </w:r>
    </w:p>
    <w:p>
      <w:pPr>
        <w:numPr>
          <w:ilvl w:val="0"/>
          <w:numId w:val="0"/>
        </w:numPr>
        <w:jc w:val="both"/>
        <w:spacing w:lineRule="atLeast" w:line="240" w:before="0" w:after="0"/>
        <w:ind w:right="0" w:firstLine="641"/>
        <w:rPr>
          <w:color w:val="FF0000"/>
          <w:position w:val="0"/>
          <w:sz w:val="32"/>
          <w:szCs w:val="32"/>
          <w:rFonts w:ascii="Times New Roman" w:eastAsia="Times New Roman" w:hAnsi="Times New Roman" w:hint="default"/>
        </w:rPr>
        <w:wordWrap w:val="off"/>
        <w:autoSpaceDE w:val="1"/>
        <w:autoSpaceDN w:val="1"/>
      </w:pPr>
      <w:r>
        <w:rPr>
          <w:color w:val="auto"/>
          <w:position w:val="0"/>
          <w:sz w:val="32"/>
          <w:szCs w:val="32"/>
          <w:rFonts w:ascii="Times New Roman" w:eastAsia="Times New Roman" w:hAnsi="Times New Roman" w:hint="default"/>
        </w:rPr>
        <w:t xml:space="preserve">公务接待费为0.5万元，与上年持平，无增减变化。 </w:t>
      </w:r>
    </w:p>
    <w:p>
      <w:pPr>
        <w:numPr>
          <w:ilvl w:val="0"/>
          <w:numId w:val="0"/>
        </w:numPr>
        <w:jc w:val="both"/>
        <w:spacing w:lineRule="atLeast" w:line="240" w:before="0" w:after="0"/>
        <w:ind w:right="0" w:firstLine="363"/>
        <w:rPr>
          <w:spacing w:val="0"/>
          <w:vertAlign w:val="baseline"/>
          <w:i w:val="0"/>
          <w:b w:val="1"/>
          <w:imprint w:val="0"/>
          <w:emboss w:val="0"/>
          <w:outline w:val="0"/>
          <w:shadow w:val="0"/>
          <w:color w:val="auto"/>
          <w:position w:val="0"/>
          <w:sz w:val="32"/>
          <w:szCs w:val="32"/>
          <w:u w:val="none"/>
          <w:smallCaps w:val="0"/>
          <w:rFonts w:ascii="??" w:eastAsia="Calibri" w:hAnsi="Calibri" w:hint="default"/>
        </w:rPr>
        <w:autoSpaceDE w:val="0"/>
        <w:autoSpaceDN w:val="0"/>
      </w:pPr>
      <w:r>
        <w:rPr>
          <w:spacing w:val="0"/>
          <w:vertAlign w:val="baseline"/>
          <w:i w:val="0"/>
          <w:b w:val="1"/>
          <w:imprint w:val="0"/>
          <w:emboss w:val="0"/>
          <w:outline w:val="0"/>
          <w:shadow w:val="0"/>
          <w:color w:val="auto"/>
          <w:position w:val="0"/>
          <w:sz w:val="32"/>
          <w:szCs w:val="32"/>
          <w:u w:val="none"/>
          <w:smallCaps w:val="0"/>
          <w:rFonts w:ascii="??" w:eastAsia="Calibri" w:hAnsi="Calibri" w:hint="default"/>
        </w:rPr>
        <w:t>五、绩效预算信息</w:t>
      </w:r>
    </w:p>
    <w:p>
      <w:pPr>
        <w:numPr>
          <w:ilvl w:val="0"/>
          <w:numId w:val="0"/>
        </w:numPr>
        <w:jc w:val="left"/>
        <w:spacing w:lineRule="auto" w:line="240" w:before="0" w:after="0"/>
        <w:ind w:left="198" w:right="0" w:firstLine="643"/>
        <w:rPr>
          <w:color w:val="auto"/>
          <w:position w:val="0"/>
          <w:sz w:val="32"/>
          <w:szCs w:val="32"/>
          <w:rFonts w:ascii="Times New Roman" w:eastAsia="Times New Roman" w:hAnsi="Times New Roman" w:hint="default"/>
        </w:rPr>
        <w:autoSpaceDE w:val="0"/>
        <w:autoSpaceDN w:val="0"/>
      </w:pPr>
      <w:bookmarkStart w:id="1" w:name="_Toc471398463"/>
      <w:r>
        <w:rPr>
          <w:b w:val="1"/>
          <w:color w:val="auto"/>
          <w:position w:val="0"/>
          <w:sz w:val="32"/>
          <w:szCs w:val="32"/>
          <w:rFonts w:ascii="Times New Roman" w:eastAsia="仿宋" w:hAnsi="仿宋" w:hint="default"/>
        </w:rPr>
        <w:t>总体绩效目标</w:t>
      </w:r>
      <w:r>
        <w:rPr>
          <w:color w:val="auto"/>
          <w:position w:val="0"/>
          <w:sz w:val="32"/>
          <w:szCs w:val="32"/>
          <w:rFonts w:ascii="Times New Roman" w:eastAsia="Times New Roman" w:hAnsi="Times New Roman" w:hint="default"/>
        </w:rPr>
        <w:t>：</w:t>
      </w:r>
    </w:p>
    <w:p>
      <w:pPr>
        <w:numPr>
          <w:ilvl w:val="0"/>
          <w:numId w:val="0"/>
        </w:numPr>
        <w:jc w:val="both"/>
        <w:spacing w:lineRule="exact" w:line="600" w:before="0" w:after="0"/>
        <w:ind w:right="0" w:firstLine="736"/>
        <w:tabs>
          <w:tab w:val="left" w:pos="420"/>
          <w:tab w:val="left" w:pos="840"/>
          <w:tab w:val="left" w:pos="1260"/>
          <w:tab w:val="left" w:pos="1680"/>
          <w:tab w:val="left" w:pos="2100"/>
          <w:tab w:val="left" w:pos="2520"/>
          <w:tab w:val="left" w:pos="2940"/>
          <w:tab w:val="left" w:pos="3360"/>
          <w:tab w:val="left" w:pos="3780"/>
          <w:tab w:val="left" w:pos="4200"/>
        </w:tabs>
        <w:rPr>
          <w:color w:val="auto"/>
          <w:position w:val="0"/>
          <w:sz w:val="32"/>
          <w:szCs w:val="32"/>
          <w:rFonts w:ascii="Times New Roman" w:eastAsia="??" w:hAnsi="??" w:hint="default"/>
        </w:rPr>
        <w:autoSpaceDE w:val="0"/>
        <w:autoSpaceDN w:val="0"/>
      </w:pPr>
      <w:r>
        <w:rPr>
          <w:color w:val="auto"/>
          <w:position w:val="0"/>
          <w:sz w:val="32"/>
          <w:szCs w:val="32"/>
          <w:rFonts w:ascii="Times New Roman" w:eastAsia="Times New Roman" w:hAnsi="Times New Roman" w:hint="default"/>
        </w:rPr>
        <w:t>承担组织领导和协调管理全县统计工作，确保统计数据真实、准确、及时。组织完成国家、省市</w:t>
      </w:r>
      <w:r>
        <w:rPr>
          <w:color w:val="auto"/>
          <w:position w:val="0"/>
          <w:sz w:val="32"/>
          <w:szCs w:val="32"/>
          <w:rFonts w:ascii="Times New Roman" w:eastAsia="Times New Roman" w:hAnsi="Times New Roman" w:hint="default"/>
        </w:rPr>
        <w:t>部署的国情国力普查及县安排重要调查任务</w:t>
      </w:r>
      <w:r>
        <w:rPr>
          <w:color w:val="auto"/>
          <w:position w:val="0"/>
          <w:sz w:val="32"/>
          <w:szCs w:val="32"/>
          <w:rFonts w:ascii="Times New Roman" w:eastAsia="Calibri" w:hAnsi="Calibri" w:hint="default"/>
        </w:rPr>
        <w:t>。</w:t>
      </w:r>
    </w:p>
    <w:p>
      <w:pPr>
        <w:numPr>
          <w:ilvl w:val="0"/>
          <w:numId w:val="0"/>
        </w:numPr>
        <w:jc w:val="left"/>
        <w:spacing w:lineRule="auto" w:line="240" w:before="0" w:after="0"/>
        <w:ind w:right="0" w:firstLine="643"/>
        <w:rPr>
          <w:b w:val="1"/>
          <w:color w:val="auto"/>
          <w:position w:val="0"/>
          <w:sz w:val="32"/>
          <w:szCs w:val="32"/>
          <w:rFonts w:ascii="Times New Roman" w:eastAsia="仿宋" w:hAnsi="仿宋" w:hint="default"/>
        </w:rPr>
        <w:autoSpaceDE w:val="0"/>
        <w:autoSpaceDN w:val="0"/>
      </w:pPr>
      <w:r>
        <w:rPr>
          <w:b w:val="1"/>
          <w:color w:val="auto"/>
          <w:position w:val="0"/>
          <w:sz w:val="32"/>
          <w:szCs w:val="32"/>
          <w:rFonts w:ascii="Times New Roman" w:eastAsia="仿宋" w:hAnsi="仿宋" w:hint="default"/>
        </w:rPr>
        <w:t>职责分类绩效目标：</w:t>
      </w:r>
    </w:p>
    <w:p>
      <w:pPr>
        <w:numPr>
          <w:ilvl w:val="0"/>
          <w:numId w:val="0"/>
        </w:numPr>
        <w:jc w:val="both"/>
        <w:spacing w:lineRule="auto" w:line="240" w:before="0" w:after="0"/>
        <w:ind w:right="0" w:firstLine="640"/>
        <w:rPr>
          <w:color w:val="auto"/>
          <w:position w:val="0"/>
          <w:sz w:val="32"/>
          <w:szCs w:val="32"/>
          <w:rFonts w:ascii="Times New Roman" w:eastAsia="??" w:hAnsi="??" w:hint="default"/>
        </w:rPr>
        <w:autoSpaceDE w:val="0"/>
        <w:autoSpaceDN w:val="0"/>
      </w:pPr>
      <w:r>
        <w:rPr>
          <w:color w:val="auto"/>
          <w:position w:val="0"/>
          <w:sz w:val="32"/>
          <w:szCs w:val="32"/>
          <w:rFonts w:ascii="Times New Roman" w:eastAsia="Calibri" w:hAnsi="Calibri" w:hint="default"/>
        </w:rPr>
        <w:t>（一）国民经济核算，在全县开展</w:t>
      </w:r>
      <w:r>
        <w:rPr>
          <w:color w:val="auto"/>
          <w:position w:val="0"/>
          <w:sz w:val="32"/>
          <w:szCs w:val="32"/>
          <w:rFonts w:ascii="Times New Roman" w:eastAsia="??" w:hAnsi="??" w:hint="default"/>
        </w:rPr>
        <w:t>GDP</w:t>
      </w:r>
      <w:r>
        <w:rPr>
          <w:color w:val="auto"/>
          <w:position w:val="0"/>
          <w:sz w:val="32"/>
          <w:szCs w:val="32"/>
          <w:rFonts w:ascii="Times New Roman" w:eastAsia="Calibri" w:hAnsi="Calibri" w:hint="default"/>
        </w:rPr>
        <w:t>核算、资产负债核算、资金流量核算工作。贯彻执行国家</w:t>
      </w:r>
      <w:r>
        <w:rPr>
          <w:color w:val="auto"/>
          <w:position w:val="0"/>
          <w:sz w:val="32"/>
          <w:szCs w:val="32"/>
          <w:rFonts w:ascii="Times New Roman" w:eastAsia="Calibri" w:hAnsi="Calibri" w:hint="default"/>
        </w:rPr>
        <w:t>国民经济核算制度，组织实施全县国民经济核算制度和投入产出调查，核算全县</w:t>
      </w:r>
    </w:p>
    <w:p>
      <w:pPr>
        <w:numPr>
          <w:ilvl w:val="0"/>
          <w:numId w:val="0"/>
        </w:numPr>
        <w:jc w:val="both"/>
        <w:spacing w:lineRule="auto" w:line="240" w:before="0" w:after="0"/>
        <w:ind w:right="0" w:firstLine="640"/>
        <w:rPr>
          <w:color w:val="auto"/>
          <w:position w:val="0"/>
          <w:sz w:val="32"/>
          <w:szCs w:val="32"/>
          <w:rFonts w:ascii="Times New Roman" w:eastAsia="??" w:hAnsi="??" w:hint="default"/>
        </w:rPr>
        <w:autoSpaceDE w:val="0"/>
        <w:autoSpaceDN w:val="0"/>
      </w:pPr>
      <w:r>
        <w:rPr>
          <w:color w:val="auto"/>
          <w:position w:val="0"/>
          <w:sz w:val="32"/>
          <w:szCs w:val="32"/>
          <w:rFonts w:ascii="Times New Roman" w:eastAsia="Calibri" w:hAnsi="Calibri" w:hint="default"/>
        </w:rPr>
        <w:t>（二）统计调查，组织国情国力普查和涉及工业、农业、社科、教育、节能、卫生等相关行业的</w:t>
      </w:r>
      <w:r>
        <w:rPr>
          <w:color w:val="auto"/>
          <w:position w:val="0"/>
          <w:sz w:val="32"/>
          <w:szCs w:val="32"/>
          <w:rFonts w:ascii="Times New Roman" w:eastAsia="Calibri" w:hAnsi="Calibri" w:hint="default"/>
        </w:rPr>
        <w:t>专项统计调查监。</w:t>
      </w:r>
    </w:p>
    <w:p>
      <w:pPr>
        <w:numPr>
          <w:ilvl w:val="0"/>
          <w:numId w:val="0"/>
        </w:numPr>
        <w:jc w:val="both"/>
        <w:spacing w:lineRule="auto" w:line="240" w:before="0" w:after="0"/>
        <w:ind w:right="0" w:firstLine="640"/>
        <w:rPr>
          <w:color w:val="auto"/>
          <w:position w:val="0"/>
          <w:sz w:val="32"/>
          <w:szCs w:val="32"/>
          <w:rFonts w:ascii="Times New Roman" w:eastAsia="??" w:hAnsi="??" w:hint="default"/>
        </w:rPr>
        <w:autoSpaceDE w:val="0"/>
        <w:autoSpaceDN w:val="0"/>
      </w:pPr>
      <w:r>
        <w:rPr>
          <w:color w:val="auto"/>
          <w:position w:val="0"/>
          <w:sz w:val="32"/>
          <w:szCs w:val="32"/>
          <w:rFonts w:ascii="Times New Roman" w:eastAsia="Calibri" w:hAnsi="Calibri" w:hint="default"/>
        </w:rPr>
        <w:t>（三）国情国力普查，组织完成国情国力普查及重要调查任务，研究提出重大县情县力普查和抽</w:t>
      </w:r>
      <w:r>
        <w:rPr>
          <w:color w:val="auto"/>
          <w:position w:val="0"/>
          <w:sz w:val="32"/>
          <w:szCs w:val="32"/>
          <w:rFonts w:ascii="Times New Roman" w:eastAsia="Calibri" w:hAnsi="Calibri" w:hint="default"/>
        </w:rPr>
        <w:t>样调查计划并组织实施，汇总、整理和提供有关县情县力方面的统计数据。</w:t>
      </w:r>
    </w:p>
    <w:p>
      <w:pPr>
        <w:numPr>
          <w:ilvl w:val="0"/>
          <w:numId w:val="0"/>
        </w:numPr>
        <w:jc w:val="both"/>
        <w:spacing w:lineRule="auto" w:line="240" w:before="0" w:after="0"/>
        <w:ind w:right="0" w:firstLine="640"/>
        <w:rPr>
          <w:color w:val="auto"/>
          <w:position w:val="0"/>
          <w:sz w:val="32"/>
          <w:szCs w:val="32"/>
          <w:rFonts w:ascii="Times New Roman" w:eastAsia="??" w:hAnsi="??" w:hint="default"/>
        </w:rPr>
        <w:autoSpaceDE w:val="0"/>
        <w:autoSpaceDN w:val="0"/>
      </w:pPr>
      <w:r>
        <w:rPr>
          <w:color w:val="auto"/>
          <w:position w:val="0"/>
          <w:sz w:val="32"/>
          <w:szCs w:val="32"/>
          <w:rFonts w:ascii="Times New Roman" w:eastAsia="Calibri" w:hAnsi="Calibri" w:hint="default"/>
        </w:rPr>
        <w:t>（四）专项统计调查，根据省、市政府有关文件要求，组织实施涉及相关行业数据的专项统计调</w:t>
      </w:r>
      <w:r>
        <w:rPr>
          <w:color w:val="auto"/>
          <w:position w:val="0"/>
          <w:sz w:val="32"/>
          <w:szCs w:val="32"/>
          <w:rFonts w:ascii="Times New Roman" w:eastAsia="Calibri" w:hAnsi="Calibri" w:hint="default"/>
        </w:rPr>
        <w:t>查，</w:t>
      </w:r>
    </w:p>
    <w:p>
      <w:pPr>
        <w:numPr>
          <w:ilvl w:val="0"/>
          <w:numId w:val="0"/>
        </w:numPr>
        <w:jc w:val="both"/>
        <w:spacing w:lineRule="auto" w:line="240" w:before="0" w:after="0"/>
        <w:ind w:right="0" w:firstLine="640"/>
        <w:rPr>
          <w:color w:val="auto"/>
          <w:position w:val="0"/>
          <w:sz w:val="32"/>
          <w:szCs w:val="32"/>
          <w:rFonts w:ascii="Times New Roman" w:eastAsia="??" w:hAnsi="??" w:hint="default"/>
        </w:rPr>
        <w:autoSpaceDE w:val="0"/>
        <w:autoSpaceDN w:val="0"/>
      </w:pPr>
      <w:r>
        <w:rPr>
          <w:color w:val="auto"/>
          <w:position w:val="0"/>
          <w:sz w:val="32"/>
          <w:szCs w:val="32"/>
          <w:rFonts w:ascii="Times New Roman" w:eastAsia="Calibri" w:hAnsi="Calibri" w:hint="default"/>
        </w:rPr>
        <w:t>（五）统计数据采集决策咨询，管理全县统计数据库网络；落实全县统计信息化系统建设。组织</w:t>
      </w:r>
      <w:r>
        <w:rPr>
          <w:color w:val="auto"/>
          <w:position w:val="0"/>
          <w:sz w:val="32"/>
          <w:szCs w:val="32"/>
          <w:rFonts w:ascii="Times New Roman" w:eastAsia="Calibri" w:hAnsi="Calibri" w:hint="default"/>
        </w:rPr>
        <w:t>全县统计系统各级各专业实施以企业一套表制度为核心的统计四大工程：建立并管理全县统计信息自</w:t>
      </w:r>
      <w:r>
        <w:rPr>
          <w:color w:val="auto"/>
          <w:position w:val="0"/>
          <w:sz w:val="32"/>
          <w:szCs w:val="32"/>
          <w:rFonts w:ascii="Times New Roman" w:eastAsia="Calibri" w:hAnsi="Calibri" w:hint="default"/>
        </w:rPr>
        <w:t>动化系统和统计数据库系统。</w:t>
      </w:r>
    </w:p>
    <w:p>
      <w:pPr>
        <w:numPr>
          <w:ilvl w:val="0"/>
          <w:numId w:val="0"/>
        </w:numPr>
        <w:jc w:val="both"/>
        <w:spacing w:lineRule="auto" w:line="240" w:before="0" w:after="0"/>
        <w:ind w:right="0" w:firstLine="640"/>
        <w:rPr>
          <w:color w:val="auto"/>
          <w:position w:val="0"/>
          <w:sz w:val="32"/>
          <w:szCs w:val="32"/>
          <w:rFonts w:ascii="Times New Roman" w:eastAsia="??" w:hAnsi="??" w:hint="default"/>
        </w:rPr>
        <w:autoSpaceDE w:val="0"/>
        <w:autoSpaceDN w:val="0"/>
      </w:pPr>
      <w:r>
        <w:rPr>
          <w:color w:val="auto"/>
          <w:position w:val="0"/>
          <w:sz w:val="32"/>
          <w:szCs w:val="32"/>
          <w:rFonts w:ascii="Times New Roman" w:eastAsia="Calibri" w:hAnsi="Calibri" w:hint="default"/>
        </w:rPr>
        <w:t>（六）统计政务管理，保障机关日常运转，健全全县统计法制建设，指导全县统计专业技术队伍</w:t>
      </w:r>
      <w:r>
        <w:rPr>
          <w:color w:val="auto"/>
          <w:position w:val="0"/>
          <w:sz w:val="32"/>
          <w:szCs w:val="32"/>
          <w:rFonts w:ascii="Times New Roman" w:eastAsia="Calibri" w:hAnsi="Calibri" w:hint="default"/>
        </w:rPr>
        <w:t>建设。</w:t>
      </w:r>
    </w:p>
    <w:p>
      <w:pPr>
        <w:numPr>
          <w:ilvl w:val="0"/>
          <w:numId w:val="0"/>
        </w:numPr>
        <w:jc w:val="both"/>
        <w:spacing w:lineRule="auto" w:line="240" w:before="0" w:after="0"/>
        <w:ind w:right="0" w:firstLine="640"/>
        <w:rPr>
          <w:color w:val="auto"/>
          <w:position w:val="0"/>
          <w:sz w:val="32"/>
          <w:szCs w:val="32"/>
          <w:rFonts w:ascii="Times New Roman" w:eastAsia="??" w:hAnsi="??" w:hint="default"/>
        </w:rPr>
        <w:autoSpaceDE w:val="0"/>
        <w:autoSpaceDN w:val="0"/>
      </w:pPr>
      <w:r>
        <w:rPr>
          <w:color w:val="auto"/>
          <w:position w:val="0"/>
          <w:sz w:val="32"/>
          <w:szCs w:val="32"/>
          <w:rFonts w:ascii="Times New Roman" w:eastAsia="Calibri" w:hAnsi="Calibri" w:hint="default"/>
        </w:rPr>
        <w:t>（七）综合业务管理，健全全县统计法制建设，严格查处统计违法现象，开展统计基层基础建设，</w:t>
      </w:r>
      <w:r>
        <w:rPr>
          <w:color w:val="auto"/>
          <w:position w:val="0"/>
          <w:sz w:val="32"/>
          <w:szCs w:val="32"/>
          <w:rFonts w:ascii="Times New Roman" w:eastAsia="Calibri" w:hAnsi="Calibri" w:hint="default"/>
        </w:rPr>
        <w:t>指导全县统计专业技术队伍建设。</w:t>
      </w:r>
    </w:p>
    <w:p>
      <w:pPr>
        <w:numPr>
          <w:ilvl w:val="0"/>
          <w:numId w:val="0"/>
        </w:numPr>
        <w:jc w:val="left"/>
        <w:spacing w:lineRule="auto" w:line="240" w:before="0" w:after="0"/>
        <w:ind w:right="0" w:firstLine="630"/>
        <w:rPr>
          <w:b w:val="1"/>
          <w:color w:val="auto"/>
          <w:position w:val="0"/>
          <w:sz w:val="32"/>
          <w:szCs w:val="32"/>
          <w:rFonts w:ascii="Times New Roman" w:eastAsia="??" w:hAnsi="??" w:hint="default"/>
        </w:rPr>
        <w:autoSpaceDE w:val="0"/>
        <w:autoSpaceDN w:val="0"/>
      </w:pPr>
      <w:r>
        <w:rPr>
          <w:b w:val="1"/>
          <w:color w:val="auto"/>
          <w:position w:val="0"/>
          <w:sz w:val="32"/>
          <w:szCs w:val="32"/>
          <w:rFonts w:ascii="Times New Roman" w:eastAsia="Times New Roman" w:hAnsi="Times New Roman" w:hint="default"/>
        </w:rPr>
        <w:t>部门职责及工作活动绩效目标指标：</w:t>
      </w:r>
      <w:bookmarkEnd w:id="1"/>
    </w:p>
    <w:p>
      <w:pPr>
        <w:bidi w:val="0"/>
        <w:numPr>
          <w:ilvl w:val="0"/>
          <w:numId w:val="0"/>
        </w:numPr>
        <w:jc w:val="center"/>
        <w:spacing w:lineRule="auto" w:line="240" w:before="0" w:after="0"/>
        <w:pageBreakBefore w:val="0"/>
        <w:ind w:right="0" w:firstLine="0"/>
        <w:rPr>
          <w:rStyle w:val="PO152"/>
          <w:spacing w:val="0"/>
          <w:color w:val="FFFFFF"/>
          <w:position w:val="0"/>
          <w:sz w:val="32"/>
          <w:szCs w:val="32"/>
          <w:rFonts w:ascii="方正小标宋_GBK" w:eastAsia="方正小标宋_GBK" w:hAnsi="方正小标宋_GBK" w:hint="default"/>
        </w:rPr>
        <w:outlineLvl w:val="0"/>
        <w:wordWrap w:val="off"/>
        <w:snapToGrid w:val="on"/>
        <w:autoSpaceDE w:val="1"/>
        <w:autoSpaceDN w:val="1"/>
      </w:pPr>
      <w:r>
        <w:rPr>
          <w:rStyle w:val="PO1"/>
          <w:spacing w:val="0"/>
          <w:color w:val="auto"/>
          <w:position w:val="0"/>
          <w:sz w:val="32"/>
          <w:szCs w:val="32"/>
          <w:rFonts w:ascii="方正小标宋_GBK" w:eastAsia="方正小标宋_GBK" w:hAnsi="方正小标宋_GBK" w:hint="default"/>
        </w:rPr>
        <w:t>部门职责-工作活动绩效目标</w:t>
      </w:r>
      <w:r>
        <w:rPr>
          <w:rStyle w:val="PO1"/>
          <w:spacing w:val="0"/>
          <w:vertAlign w:val="superscript"/>
          <w:color w:val="FFFFFF"/>
          <w:position w:val="0"/>
          <w:sz w:val="32"/>
          <w:szCs w:val="32"/>
          <w:rFonts w:ascii="Symbol" w:eastAsia="Symbol" w:hAnsi="Symbol" w:hint="default"/>
        </w:rPr>
        <w:footnoteReference w:id="1"/>
      </w:r>
    </w:p>
    <w:tbl>
      <w:tblID w:val="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W w:w="13934" w:type="dxa"/>
        <w:jc w:val="center"/>
        <w:tblLook w:val="000600" w:firstRow="0" w:lastRow="0" w:firstColumn="0" w:lastColumn="0" w:noHBand="1" w:noVBand="1"/>
      </w:tblPr>
      <w:tblGrid>
        <w:gridCol w:w="2341"/>
        <w:gridCol w:w="1276"/>
        <w:gridCol w:w="2976"/>
        <w:gridCol w:w="2976"/>
        <w:gridCol w:w="1417"/>
        <w:gridCol w:w="737"/>
        <w:gridCol w:w="737"/>
        <w:gridCol w:w="737"/>
        <w:gridCol w:w="737"/>
      </w:tblGrid>
      <w:tr>
        <w:trPr>
          <w:trHeight w:hRule="atleast" w:val="227"/>
          <w:tblHeader/>
          <w:hidden w:val="0"/>
        </w:trPr>
        <w:tc>
          <w:tcPr>
            <w:tcW w:type="dxa" w:w="10986"/>
            <w:tcMar>
              <w:left w:w="108" w:type="dxa"/>
              <w:right w:w="108" w:type="dxa"/>
            </w:tcMar>
            <w:vAlign w:val="center"/>
            <w:gridSpan w:val="5"/>
            <w:tcBorders>
              <w:bottom w:val="single" w:color="auto" w:sz="6"/>
              <w:left w:val="single" w:color="FFFFFF" w:sz="6"/>
              <w:right w:val="single" w:color="FFFFFF" w:sz="6"/>
              <w:top w:val="single" w:color="FFFFFF" w:sz="6"/>
            </w:tcBorders>
          </w:tcPr>
          <w:p>
            <w:pPr>
              <w:bidi w:val="0"/>
              <w:numPr>
                <w:ilvl w:val="0"/>
                <w:numId w:val="0"/>
              </w:numPr>
              <w:jc w:val="left"/>
              <w:spacing w:lineRule="exact" w:line="300" w:before="0" w:after="0"/>
              <w:pageBreakBefore w:val="0"/>
              <w:ind w:right="0" w:firstLine="0"/>
              <w:rPr>
                <w:rStyle w:val="PO1"/>
                <w:spacing w:val="0"/>
                <w:color w:val="auto"/>
                <w:position w:val="0"/>
                <w:sz w:val="24"/>
                <w:szCs w:val="24"/>
                <w:rFonts w:ascii="方正小标宋_GBK" w:eastAsia="方正小标宋_GBK" w:hAnsi="方正小标宋_GBK" w:hint="default"/>
              </w:rPr>
              <w:wordWrap w:val="off"/>
              <w:snapToGrid w:val="on"/>
              <w:autoSpaceDE w:val="1"/>
              <w:autoSpaceDN w:val="1"/>
            </w:pPr>
            <w:r>
              <w:rPr>
                <w:rStyle w:val="PO1"/>
                <w:spacing w:val="0"/>
                <w:color w:val="auto"/>
                <w:position w:val="0"/>
                <w:sz w:val="24"/>
                <w:szCs w:val="24"/>
                <w:rFonts w:ascii="方正小标宋_GBK" w:eastAsia="方正小标宋_GBK" w:hAnsi="方正小标宋_GBK" w:hint="default"/>
              </w:rPr>
              <w:t>410统计</w:t>
            </w:r>
          </w:p>
        </w:tc>
        <w:tc>
          <w:tcPr>
            <w:tcW w:type="dxa" w:w="2948"/>
            <w:tcMar>
              <w:left w:w="108" w:type="dxa"/>
              <w:right w:w="108" w:type="dxa"/>
            </w:tcMar>
            <w:vAlign w:val="center"/>
            <w:gridSpan w:val="4"/>
            <w:tcBorders>
              <w:bottom w:val="single" w:color="auto" w:sz="6"/>
              <w:left w:val="single" w:color="FFFFFF" w:sz="6"/>
              <w:right w:val="single" w:color="FFFFFF" w:sz="6"/>
              <w:top w:val="single" w:color="FFFFFF" w:sz="6"/>
            </w:tcBorders>
          </w:tcPr>
          <w:p>
            <w:pPr>
              <w:bidi w:val="0"/>
              <w:numPr>
                <w:ilvl w:val="0"/>
                <w:numId w:val="0"/>
              </w:numPr>
              <w:jc w:val="right"/>
              <w:spacing w:lineRule="exact" w:line="300" w:before="0" w:after="0"/>
              <w:pageBreakBefore w:val="0"/>
              <w:ind w:right="0" w:firstLine="0"/>
              <w:rPr>
                <w:rStyle w:val="PO1"/>
                <w:spacing w:val="0"/>
                <w:color w:val="auto"/>
                <w:position w:val="0"/>
                <w:sz w:val="24"/>
                <w:szCs w:val="24"/>
                <w:rFonts w:ascii="方正书宋_GBK" w:eastAsia="方正书宋_GBK" w:hAnsi="方正书宋_GBK" w:hint="default"/>
              </w:rPr>
              <w:wordWrap w:val="off"/>
              <w:snapToGrid w:val="on"/>
              <w:autoSpaceDE w:val="1"/>
              <w:autoSpaceDN w:val="1"/>
            </w:pPr>
            <w:r>
              <w:rPr>
                <w:rStyle w:val="PO1"/>
                <w:spacing w:val="0"/>
                <w:color w:val="auto"/>
                <w:position w:val="0"/>
                <w:sz w:val="24"/>
                <w:szCs w:val="24"/>
                <w:rFonts w:ascii="方正书宋_GBK" w:eastAsia="方正书宋_GBK" w:hAnsi="方正书宋_GBK" w:hint="default"/>
              </w:rPr>
              <w:t>单位：万元</w:t>
            </w:r>
          </w:p>
        </w:tc>
      </w:tr>
      <w:tr>
        <w:trPr>
          <w:trHeight w:hRule="atleast" w:val="227"/>
          <w:cantSplit/>
          <w:hidden w:val="0"/>
        </w:trPr>
        <w:tc>
          <w:tcPr>
            <w:tcW w:type="dxa" w:w="2341"/>
            <w:tcMar>
              <w:left w:w="108" w:type="dxa"/>
              <w:right w:w="108" w:type="dxa"/>
            </w:tcMar>
            <w:vAlign w:val="center"/>
            <w:vMerge w:val="restart"/>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b w:val="1"/>
                <w:color w:val="auto"/>
                <w:position w:val="0"/>
                <w:sz w:val="21"/>
                <w:szCs w:val="21"/>
                <w:rFonts w:ascii="方正书宋_GBK" w:eastAsia="方正书宋_GBK" w:hAnsi="方正书宋_GBK" w:hint="default"/>
              </w:rPr>
              <w:wordWrap w:val="off"/>
              <w:snapToGrid w:val="on"/>
              <w:autoSpaceDE w:val="1"/>
              <w:autoSpaceDN w:val="1"/>
            </w:pPr>
            <w:r>
              <w:rPr>
                <w:rStyle w:val="PO1"/>
                <w:spacing w:val="0"/>
                <w:b w:val="1"/>
                <w:color w:val="auto"/>
                <w:position w:val="0"/>
                <w:sz w:val="21"/>
                <w:szCs w:val="21"/>
                <w:rFonts w:ascii="方正书宋_GBK" w:eastAsia="方正书宋_GBK" w:hAnsi="方正书宋_GBK" w:hint="default"/>
              </w:rPr>
              <w:t>职责活动</w:t>
            </w:r>
          </w:p>
        </w:tc>
        <w:tc>
          <w:tcPr>
            <w:tcW w:type="dxa" w:w="1276"/>
            <w:tcMar>
              <w:left w:w="108" w:type="dxa"/>
              <w:right w:w="108" w:type="dxa"/>
            </w:tcMar>
            <w:vAlign w:val="center"/>
            <w:vMerge w:val="restart"/>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b w:val="1"/>
                <w:color w:val="auto"/>
                <w:position w:val="0"/>
                <w:sz w:val="21"/>
                <w:szCs w:val="21"/>
                <w:rFonts w:ascii="方正书宋_GBK" w:eastAsia="方正书宋_GBK" w:hAnsi="方正书宋_GBK" w:hint="default"/>
              </w:rPr>
              <w:wordWrap w:val="off"/>
              <w:snapToGrid w:val="on"/>
              <w:autoSpaceDE w:val="1"/>
              <w:autoSpaceDN w:val="1"/>
            </w:pPr>
            <w:r>
              <w:rPr>
                <w:rStyle w:val="PO1"/>
                <w:spacing w:val="0"/>
                <w:b w:val="1"/>
                <w:color w:val="auto"/>
                <w:position w:val="0"/>
                <w:sz w:val="21"/>
                <w:szCs w:val="21"/>
                <w:rFonts w:ascii="方正书宋_GBK" w:eastAsia="方正书宋_GBK" w:hAnsi="方正书宋_GBK" w:hint="default"/>
              </w:rPr>
              <w:t>年度预算数</w:t>
            </w:r>
          </w:p>
        </w:tc>
        <w:tc>
          <w:tcPr>
            <w:tcW w:type="dxa" w:w="2976"/>
            <w:tcMar>
              <w:left w:w="108" w:type="dxa"/>
              <w:right w:w="108" w:type="dxa"/>
            </w:tcMar>
            <w:vAlign w:val="center"/>
            <w:vMerge w:val="restart"/>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b w:val="1"/>
                <w:color w:val="auto"/>
                <w:position w:val="0"/>
                <w:sz w:val="21"/>
                <w:szCs w:val="21"/>
                <w:rFonts w:ascii="方正书宋_GBK" w:eastAsia="方正书宋_GBK" w:hAnsi="方正书宋_GBK" w:hint="default"/>
              </w:rPr>
              <w:wordWrap w:val="off"/>
              <w:snapToGrid w:val="on"/>
              <w:autoSpaceDE w:val="1"/>
              <w:autoSpaceDN w:val="1"/>
            </w:pPr>
            <w:r>
              <w:rPr>
                <w:rStyle w:val="PO1"/>
                <w:spacing w:val="0"/>
                <w:b w:val="1"/>
                <w:color w:val="auto"/>
                <w:position w:val="0"/>
                <w:sz w:val="21"/>
                <w:szCs w:val="21"/>
                <w:rFonts w:ascii="方正书宋_GBK" w:eastAsia="方正书宋_GBK" w:hAnsi="方正书宋_GBK" w:hint="default"/>
              </w:rPr>
              <w:t>内容描述</w:t>
            </w:r>
          </w:p>
        </w:tc>
        <w:tc>
          <w:tcPr>
            <w:tcW w:type="dxa" w:w="2976"/>
            <w:tcMar>
              <w:left w:w="108" w:type="dxa"/>
              <w:right w:w="108" w:type="dxa"/>
            </w:tcMar>
            <w:vAlign w:val="center"/>
            <w:vMerge w:val="restart"/>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b w:val="1"/>
                <w:color w:val="auto"/>
                <w:position w:val="0"/>
                <w:sz w:val="21"/>
                <w:szCs w:val="21"/>
                <w:rFonts w:ascii="方正书宋_GBK" w:eastAsia="方正书宋_GBK" w:hAnsi="方正书宋_GBK" w:hint="default"/>
              </w:rPr>
              <w:wordWrap w:val="off"/>
              <w:snapToGrid w:val="on"/>
              <w:autoSpaceDE w:val="1"/>
              <w:autoSpaceDN w:val="1"/>
            </w:pPr>
            <w:r>
              <w:rPr>
                <w:rStyle w:val="PO1"/>
                <w:spacing w:val="0"/>
                <w:b w:val="1"/>
                <w:color w:val="auto"/>
                <w:position w:val="0"/>
                <w:sz w:val="21"/>
                <w:szCs w:val="21"/>
                <w:rFonts w:ascii="方正书宋_GBK" w:eastAsia="方正书宋_GBK" w:hAnsi="方正书宋_GBK" w:hint="default"/>
              </w:rPr>
              <w:t>绩效目标</w:t>
            </w:r>
          </w:p>
        </w:tc>
        <w:tc>
          <w:tcPr>
            <w:tcW w:type="dxa" w:w="1417"/>
            <w:tcMar>
              <w:left w:w="108" w:type="dxa"/>
              <w:right w:w="108" w:type="dxa"/>
            </w:tcMar>
            <w:vAlign w:val="center"/>
            <w:vMerge w:val="restart"/>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b w:val="1"/>
                <w:color w:val="auto"/>
                <w:position w:val="0"/>
                <w:sz w:val="21"/>
                <w:szCs w:val="21"/>
                <w:rFonts w:ascii="方正书宋_GBK" w:eastAsia="方正书宋_GBK" w:hAnsi="方正书宋_GBK" w:hint="default"/>
              </w:rPr>
              <w:wordWrap w:val="off"/>
              <w:snapToGrid w:val="on"/>
              <w:autoSpaceDE w:val="1"/>
              <w:autoSpaceDN w:val="1"/>
            </w:pPr>
            <w:r>
              <w:rPr>
                <w:rStyle w:val="PO1"/>
                <w:spacing w:val="0"/>
                <w:b w:val="1"/>
                <w:color w:val="auto"/>
                <w:position w:val="0"/>
                <w:sz w:val="21"/>
                <w:szCs w:val="21"/>
                <w:rFonts w:ascii="方正书宋_GBK" w:eastAsia="方正书宋_GBK" w:hAnsi="方正书宋_GBK" w:hint="default"/>
              </w:rPr>
              <w:t>绩效指标</w:t>
            </w:r>
          </w:p>
        </w:tc>
        <w:tc>
          <w:tcPr>
            <w:tcW w:type="dxa" w:w="2948"/>
            <w:tcMar>
              <w:left w:w="108" w:type="dxa"/>
              <w:right w:w="108" w:type="dxa"/>
            </w:tcMar>
            <w:vAlign w:val="center"/>
            <w:gridSpan w:val="4"/>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b w:val="1"/>
                <w:color w:val="auto"/>
                <w:position w:val="0"/>
                <w:sz w:val="21"/>
                <w:szCs w:val="21"/>
                <w:rFonts w:ascii="方正书宋_GBK" w:eastAsia="方正书宋_GBK" w:hAnsi="方正书宋_GBK" w:hint="default"/>
              </w:rPr>
              <w:wordWrap w:val="off"/>
              <w:snapToGrid w:val="on"/>
              <w:autoSpaceDE w:val="1"/>
              <w:autoSpaceDN w:val="1"/>
            </w:pPr>
            <w:r>
              <w:rPr>
                <w:rStyle w:val="PO1"/>
                <w:spacing w:val="0"/>
                <w:b w:val="1"/>
                <w:color w:val="auto"/>
                <w:position w:val="0"/>
                <w:sz w:val="21"/>
                <w:szCs w:val="21"/>
                <w:rFonts w:ascii="方正书宋_GBK" w:eastAsia="方正书宋_GBK" w:hAnsi="方正书宋_GBK" w:hint="default"/>
              </w:rPr>
              <w:t>评价标准</w:t>
            </w:r>
          </w:p>
        </w:tc>
      </w:tr>
      <w:tr>
        <w:trPr>
          <w:trHeight w:hRule="atleast" w:val="227"/>
          <w:cantSplit/>
          <w:hidden w:val="0"/>
        </w:trPr>
        <w:tc>
          <w:tcPr>
            <w:tcW w:type="dxa" w:w="2341"/>
            <w:vAlign w:val="center"/>
            <w:vMerge/>
            <w:tcBorders>
              <w:bottom w:val="single" w:color="auto" w:sz="6"/>
              <w:left w:val="single" w:color="auto" w:sz="6"/>
              <w:right w:val="single" w:color="auto" w:sz="6"/>
              <w:top w:val="single" w:color="auto" w:sz="6"/>
            </w:tcBorders>
          </w:tcPr>
          <w:p/>
        </w:tc>
        <w:tc>
          <w:tcPr>
            <w:tcW w:type="dxa" w:w="1276"/>
            <w:vAlign w:val="center"/>
            <w:vMerge/>
            <w:tcBorders>
              <w:bottom w:val="single" w:color="auto" w:sz="6"/>
              <w:left w:val="single" w:color="auto" w:sz="6"/>
              <w:right w:val="single" w:color="auto" w:sz="6"/>
              <w:top w:val="single" w:color="auto" w:sz="6"/>
            </w:tcBorders>
          </w:tcPr>
          <w:p/>
        </w:tc>
        <w:tc>
          <w:tcPr>
            <w:tcW w:type="dxa" w:w="2976"/>
            <w:vAlign w:val="center"/>
            <w:vMerge/>
            <w:tcBorders>
              <w:bottom w:val="single" w:color="auto" w:sz="6"/>
              <w:left w:val="single" w:color="auto" w:sz="6"/>
              <w:right w:val="single" w:color="auto" w:sz="6"/>
              <w:top w:val="single" w:color="auto" w:sz="6"/>
            </w:tcBorders>
          </w:tcPr>
          <w:p/>
        </w:tc>
        <w:tc>
          <w:tcPr>
            <w:tcW w:type="dxa" w:w="2976"/>
            <w:vAlign w:val="center"/>
            <w:vMerge/>
            <w:tcBorders>
              <w:bottom w:val="single" w:color="auto" w:sz="6"/>
              <w:left w:val="single" w:color="auto" w:sz="6"/>
              <w:right w:val="single" w:color="auto" w:sz="6"/>
              <w:top w:val="single" w:color="auto" w:sz="6"/>
            </w:tcBorders>
          </w:tcPr>
          <w:p/>
        </w:tc>
        <w:tc>
          <w:tcPr>
            <w:tcW w:type="dxa" w:w="1417"/>
            <w:vAlign w:val="center"/>
            <w:vMerge/>
            <w:tcBorders>
              <w:bottom w:val="single" w:color="auto" w:sz="6"/>
              <w:left w:val="single" w:color="auto" w:sz="6"/>
              <w:right w:val="single" w:color="auto" w:sz="6"/>
              <w:top w:val="single" w:color="auto" w:sz="6"/>
            </w:tcBorders>
          </w:tcP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b w:val="1"/>
                <w:color w:val="auto"/>
                <w:position w:val="0"/>
                <w:sz w:val="21"/>
                <w:szCs w:val="21"/>
                <w:rFonts w:ascii="方正书宋_GBK" w:eastAsia="方正书宋_GBK" w:hAnsi="方正书宋_GBK" w:hint="default"/>
              </w:rPr>
              <w:wordWrap w:val="off"/>
              <w:snapToGrid w:val="on"/>
              <w:autoSpaceDE w:val="1"/>
              <w:autoSpaceDN w:val="1"/>
            </w:pPr>
            <w:r>
              <w:rPr>
                <w:rStyle w:val="PO1"/>
                <w:spacing w:val="0"/>
                <w:b w:val="1"/>
                <w:color w:val="auto"/>
                <w:position w:val="0"/>
                <w:sz w:val="21"/>
                <w:szCs w:val="21"/>
                <w:rFonts w:ascii="方正书宋_GBK" w:eastAsia="方正书宋_GBK" w:hAnsi="方正书宋_GBK" w:hint="default"/>
              </w:rPr>
              <w:t>优</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b w:val="1"/>
                <w:color w:val="auto"/>
                <w:position w:val="0"/>
                <w:sz w:val="21"/>
                <w:szCs w:val="21"/>
                <w:rFonts w:ascii="方正书宋_GBK" w:eastAsia="方正书宋_GBK" w:hAnsi="方正书宋_GBK" w:hint="default"/>
              </w:rPr>
              <w:wordWrap w:val="off"/>
              <w:snapToGrid w:val="on"/>
              <w:autoSpaceDE w:val="1"/>
              <w:autoSpaceDN w:val="1"/>
            </w:pPr>
            <w:r>
              <w:rPr>
                <w:rStyle w:val="PO1"/>
                <w:spacing w:val="0"/>
                <w:b w:val="1"/>
                <w:color w:val="auto"/>
                <w:position w:val="0"/>
                <w:sz w:val="21"/>
                <w:szCs w:val="21"/>
                <w:rFonts w:ascii="方正书宋_GBK" w:eastAsia="方正书宋_GBK" w:hAnsi="方正书宋_GBK" w:hint="default"/>
              </w:rPr>
              <w:t>良</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b w:val="1"/>
                <w:color w:val="auto"/>
                <w:position w:val="0"/>
                <w:sz w:val="21"/>
                <w:szCs w:val="21"/>
                <w:rFonts w:ascii="方正书宋_GBK" w:eastAsia="方正书宋_GBK" w:hAnsi="方正书宋_GBK" w:hint="default"/>
              </w:rPr>
              <w:wordWrap w:val="off"/>
              <w:snapToGrid w:val="on"/>
              <w:autoSpaceDE w:val="1"/>
              <w:autoSpaceDN w:val="1"/>
            </w:pPr>
            <w:r>
              <w:rPr>
                <w:rStyle w:val="PO1"/>
                <w:spacing w:val="0"/>
                <w:b w:val="1"/>
                <w:color w:val="auto"/>
                <w:position w:val="0"/>
                <w:sz w:val="21"/>
                <w:szCs w:val="21"/>
                <w:rFonts w:ascii="方正书宋_GBK" w:eastAsia="方正书宋_GBK" w:hAnsi="方正书宋_GBK" w:hint="default"/>
              </w:rPr>
              <w:t>中</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b w:val="1"/>
                <w:color w:val="auto"/>
                <w:position w:val="0"/>
                <w:sz w:val="21"/>
                <w:szCs w:val="21"/>
                <w:rFonts w:ascii="方正书宋_GBK" w:eastAsia="方正书宋_GBK" w:hAnsi="方正书宋_GBK" w:hint="default"/>
              </w:rPr>
              <w:wordWrap w:val="off"/>
              <w:snapToGrid w:val="on"/>
              <w:autoSpaceDE w:val="1"/>
              <w:autoSpaceDN w:val="1"/>
            </w:pPr>
            <w:r>
              <w:rPr>
                <w:rStyle w:val="PO1"/>
                <w:spacing w:val="0"/>
                <w:b w:val="1"/>
                <w:color w:val="auto"/>
                <w:position w:val="0"/>
                <w:sz w:val="21"/>
                <w:szCs w:val="21"/>
                <w:rFonts w:ascii="方正书宋_GBK" w:eastAsia="方正书宋_GBK" w:hAnsi="方正书宋_GBK" w:hint="default"/>
              </w:rPr>
              <w:t>差</w:t>
            </w:r>
          </w:p>
        </w:tc>
      </w:tr>
      <w:tr>
        <w:trPr>
          <w:trHeight w:hRule="atleast" w:val="227"/>
          <w:hidden w:val="0"/>
        </w:trPr>
        <w:tc>
          <w:tcPr>
            <w:tcW w:type="dxa" w:w="2341"/>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b w:val="1"/>
                <w:color w:val="auto"/>
                <w:position w:val="0"/>
                <w:sz w:val="21"/>
                <w:szCs w:val="21"/>
                <w:rFonts w:ascii="方正书宋_GBK" w:eastAsia="方正书宋_GBK" w:hAnsi="方正书宋_GBK" w:hint="default"/>
              </w:rPr>
              <w:wordWrap w:val="off"/>
              <w:snapToGrid w:val="on"/>
              <w:autoSpaceDE w:val="1"/>
              <w:autoSpaceDN w:val="1"/>
            </w:pPr>
            <w:r>
              <w:rPr>
                <w:rStyle w:val="PO1"/>
                <w:spacing w:val="0"/>
                <w:b w:val="1"/>
                <w:color w:val="auto"/>
                <w:position w:val="0"/>
                <w:sz w:val="21"/>
                <w:szCs w:val="21"/>
                <w:rFonts w:ascii="方正书宋_GBK" w:eastAsia="方正书宋_GBK" w:hAnsi="方正书宋_GBK" w:hint="default"/>
              </w:rPr>
              <w:t>一、国民经济核算</w:t>
            </w:r>
          </w:p>
        </w:tc>
        <w:tc>
          <w:tcPr>
            <w:tcW w:type="dxa" w:w="1276"/>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p>
        </w:tc>
        <w:tc>
          <w:tcPr>
            <w:tcW w:type="dxa" w:w="2976"/>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在全县开展GDP核算、资产负</w:t>
            </w:r>
            <w:r>
              <w:rPr>
                <w:rStyle w:val="PO1"/>
                <w:spacing w:val="0"/>
                <w:color w:val="auto"/>
                <w:position w:val="0"/>
                <w:sz w:val="21"/>
                <w:szCs w:val="21"/>
                <w:rFonts w:ascii="方正书宋_GBK" w:eastAsia="方正书宋_GBK" w:hAnsi="方正书宋_GBK" w:hint="default"/>
              </w:rPr>
              <w:t>债核算、资金流量核算工作。</w:t>
            </w:r>
          </w:p>
        </w:tc>
        <w:tc>
          <w:tcPr>
            <w:tcW w:type="dxa" w:w="2976"/>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完成全县年度数据的测算审核</w:t>
            </w:r>
            <w:r>
              <w:rPr>
                <w:rStyle w:val="PO1"/>
                <w:spacing w:val="0"/>
                <w:color w:val="auto"/>
                <w:position w:val="0"/>
                <w:sz w:val="21"/>
                <w:szCs w:val="21"/>
                <w:rFonts w:ascii="方正书宋_GBK" w:eastAsia="方正书宋_GBK" w:hAnsi="方正书宋_GBK" w:hint="default"/>
              </w:rPr>
              <w:t>认定工作；完成全县季度数据</w:t>
            </w:r>
            <w:r>
              <w:rPr>
                <w:rStyle w:val="PO1"/>
                <w:spacing w:val="0"/>
                <w:color w:val="auto"/>
                <w:position w:val="0"/>
                <w:sz w:val="21"/>
                <w:szCs w:val="21"/>
                <w:rFonts w:ascii="方正书宋_GBK" w:eastAsia="方正书宋_GBK" w:hAnsi="方正书宋_GBK" w:hint="default"/>
              </w:rPr>
              <w:t>审核认定工作；完成必要分析</w:t>
            </w:r>
            <w:r>
              <w:rPr>
                <w:rStyle w:val="PO1"/>
                <w:spacing w:val="0"/>
                <w:color w:val="auto"/>
                <w:position w:val="0"/>
                <w:sz w:val="21"/>
                <w:szCs w:val="21"/>
                <w:rFonts w:ascii="方正书宋_GBK" w:eastAsia="方正书宋_GBK" w:hAnsi="方正书宋_GBK" w:hint="default"/>
              </w:rPr>
              <w:t>，对相关经济决策提供重要依</w:t>
            </w:r>
            <w:r>
              <w:rPr>
                <w:rStyle w:val="PO1"/>
                <w:spacing w:val="0"/>
                <w:color w:val="auto"/>
                <w:position w:val="0"/>
                <w:sz w:val="21"/>
                <w:szCs w:val="21"/>
                <w:rFonts w:ascii="方正书宋_GBK" w:eastAsia="方正书宋_GBK" w:hAnsi="方正书宋_GBK" w:hint="default"/>
              </w:rPr>
              <w:t>据。</w:t>
            </w:r>
          </w:p>
        </w:tc>
        <w:tc>
          <w:tcPr>
            <w:tcW w:type="dxa" w:w="141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p>
        </w:tc>
      </w:tr>
      <w:tr>
        <w:trPr>
          <w:trHeight w:hRule="atleast" w:val="227"/>
          <w:cantSplit/>
          <w:hidden w:val="0"/>
        </w:trPr>
        <w:tc>
          <w:tcPr>
            <w:tcW w:type="dxa" w:w="2341"/>
            <w:tcMar>
              <w:left w:w="108" w:type="dxa"/>
              <w:right w:w="108" w:type="dxa"/>
            </w:tcMar>
            <w:vAlign w:val="center"/>
            <w:vMerge w:val="restart"/>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b w:val="1"/>
                <w:color w:val="auto"/>
                <w:position w:val="0"/>
                <w:sz w:val="21"/>
                <w:szCs w:val="21"/>
                <w:rFonts w:ascii="方正书宋_GBK" w:eastAsia="方正书宋_GBK" w:hAnsi="方正书宋_GBK" w:hint="default"/>
              </w:rPr>
              <w:wordWrap w:val="off"/>
              <w:snapToGrid w:val="on"/>
              <w:autoSpaceDE w:val="1"/>
              <w:autoSpaceDN w:val="1"/>
            </w:pPr>
            <w:r>
              <w:rPr>
                <w:rStyle w:val="PO1"/>
                <w:spacing w:val="0"/>
                <w:b w:val="1"/>
                <w:color w:val="auto"/>
                <w:position w:val="0"/>
                <w:sz w:val="21"/>
                <w:szCs w:val="21"/>
                <w:rFonts w:ascii="方正书宋_GBK" w:eastAsia="方正书宋_GBK" w:hAnsi="方正书宋_GBK" w:hint="default"/>
              </w:rPr>
              <w:t>　　1、国民经济核算</w:t>
            </w:r>
          </w:p>
        </w:tc>
        <w:tc>
          <w:tcPr>
            <w:tcW w:type="dxa" w:w="1276"/>
            <w:tcMar>
              <w:left w:w="108" w:type="dxa"/>
              <w:right w:w="108" w:type="dxa"/>
            </w:tcMar>
            <w:vAlign w:val="center"/>
            <w:vMerge w:val="restart"/>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p>
        </w:tc>
        <w:tc>
          <w:tcPr>
            <w:tcW w:type="dxa" w:w="2976"/>
            <w:tcMar>
              <w:left w:w="108" w:type="dxa"/>
              <w:right w:w="108" w:type="dxa"/>
            </w:tcMar>
            <w:vAlign w:val="center"/>
            <w:vMerge w:val="restart"/>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贯彻执行国家国民经济核算制</w:t>
            </w:r>
            <w:r>
              <w:rPr>
                <w:rStyle w:val="PO1"/>
                <w:spacing w:val="0"/>
                <w:color w:val="auto"/>
                <w:position w:val="0"/>
                <w:sz w:val="21"/>
                <w:szCs w:val="21"/>
                <w:rFonts w:ascii="方正书宋_GBK" w:eastAsia="方正书宋_GBK" w:hAnsi="方正书宋_GBK" w:hint="default"/>
              </w:rPr>
              <w:t>度，组织实施全县国民经济核</w:t>
            </w:r>
            <w:r>
              <w:rPr>
                <w:rStyle w:val="PO1"/>
                <w:spacing w:val="0"/>
                <w:color w:val="auto"/>
                <w:position w:val="0"/>
                <w:sz w:val="21"/>
                <w:szCs w:val="21"/>
                <w:rFonts w:ascii="方正书宋_GBK" w:eastAsia="方正书宋_GBK" w:hAnsi="方正书宋_GBK" w:hint="default"/>
              </w:rPr>
              <w:t>算制度和投入产出调查，核算</w:t>
            </w:r>
            <w:r>
              <w:rPr>
                <w:rStyle w:val="PO1"/>
                <w:spacing w:val="0"/>
                <w:color w:val="auto"/>
                <w:position w:val="0"/>
                <w:sz w:val="21"/>
                <w:szCs w:val="21"/>
                <w:rFonts w:ascii="方正书宋_GBK" w:eastAsia="方正书宋_GBK" w:hAnsi="方正书宋_GBK" w:hint="default"/>
              </w:rPr>
              <w:t>全县生产总值，整理、测算和</w:t>
            </w:r>
            <w:r>
              <w:rPr>
                <w:rStyle w:val="PO1"/>
                <w:spacing w:val="0"/>
                <w:color w:val="auto"/>
                <w:position w:val="0"/>
                <w:sz w:val="21"/>
                <w:szCs w:val="21"/>
                <w:rFonts w:ascii="方正书宋_GBK" w:eastAsia="方正书宋_GBK" w:hAnsi="方正书宋_GBK" w:hint="default"/>
              </w:rPr>
              <w:t>提供国民经济核算资料，监督</w:t>
            </w:r>
            <w:r>
              <w:rPr>
                <w:rStyle w:val="PO1"/>
                <w:spacing w:val="0"/>
                <w:color w:val="auto"/>
                <w:position w:val="0"/>
                <w:sz w:val="21"/>
                <w:szCs w:val="21"/>
                <w:rFonts w:ascii="方正书宋_GBK" w:eastAsia="方正书宋_GBK" w:hAnsi="方正书宋_GBK" w:hint="default"/>
              </w:rPr>
              <w:t>管理全县国民经济核算工作。</w:t>
            </w:r>
          </w:p>
        </w:tc>
        <w:tc>
          <w:tcPr>
            <w:tcW w:type="dxa" w:w="2976"/>
            <w:tcMar>
              <w:left w:w="108" w:type="dxa"/>
              <w:right w:w="108" w:type="dxa"/>
            </w:tcMar>
            <w:vAlign w:val="center"/>
            <w:vMerge w:val="restart"/>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完成全县年度、季度数据的测</w:t>
            </w:r>
            <w:r>
              <w:rPr>
                <w:rStyle w:val="PO1"/>
                <w:spacing w:val="0"/>
                <w:color w:val="auto"/>
                <w:position w:val="0"/>
                <w:sz w:val="21"/>
                <w:szCs w:val="21"/>
                <w:rFonts w:ascii="方正书宋_GBK" w:eastAsia="方正书宋_GBK" w:hAnsi="方正书宋_GBK" w:hint="default"/>
              </w:rPr>
              <w:t>算审核认定工作；完成必要分</w:t>
            </w:r>
            <w:r>
              <w:rPr>
                <w:rStyle w:val="PO1"/>
                <w:spacing w:val="0"/>
                <w:color w:val="auto"/>
                <w:position w:val="0"/>
                <w:sz w:val="21"/>
                <w:szCs w:val="21"/>
                <w:rFonts w:ascii="方正书宋_GBK" w:eastAsia="方正书宋_GBK" w:hAnsi="方正书宋_GBK" w:hint="default"/>
              </w:rPr>
              <w:t>析，对相关经济决策提供重要</w:t>
            </w:r>
            <w:r>
              <w:rPr>
                <w:rStyle w:val="PO1"/>
                <w:spacing w:val="0"/>
                <w:color w:val="auto"/>
                <w:position w:val="0"/>
                <w:sz w:val="21"/>
                <w:szCs w:val="21"/>
                <w:rFonts w:ascii="方正书宋_GBK" w:eastAsia="方正书宋_GBK" w:hAnsi="方正书宋_GBK" w:hint="default"/>
              </w:rPr>
              <w:t>依据。</w:t>
            </w:r>
          </w:p>
        </w:tc>
        <w:tc>
          <w:tcPr>
            <w:tcW w:type="dxa" w:w="141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调查对象覆</w:t>
            </w:r>
            <w:r>
              <w:rPr>
                <w:rStyle w:val="PO1"/>
                <w:spacing w:val="0"/>
                <w:color w:val="auto"/>
                <w:position w:val="0"/>
                <w:sz w:val="21"/>
                <w:szCs w:val="21"/>
                <w:rFonts w:ascii="方正书宋_GBK" w:eastAsia="方正书宋_GBK" w:hAnsi="方正书宋_GBK" w:hint="default"/>
              </w:rPr>
              <w:t>盖率</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≥98</w:t>
            </w:r>
            <w:r>
              <w:rPr>
                <w:rStyle w:val="PO1"/>
                <w:spacing w:val="0"/>
                <w:color w:val="auto"/>
                <w:position w:val="0"/>
                <w:sz w:val="21"/>
                <w:szCs w:val="21"/>
                <w:rFonts w:ascii="方正书宋_GBK" w:eastAsia="方正书宋_GBK" w:hAnsi="方正书宋_GBK" w:hint="default"/>
              </w:rPr>
              <w:t>%</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≥95</w:t>
            </w:r>
            <w:r>
              <w:rPr>
                <w:rStyle w:val="PO1"/>
                <w:spacing w:val="0"/>
                <w:color w:val="auto"/>
                <w:position w:val="0"/>
                <w:sz w:val="21"/>
                <w:szCs w:val="21"/>
                <w:rFonts w:ascii="方正书宋_GBK" w:eastAsia="方正书宋_GBK" w:hAnsi="方正书宋_GBK" w:hint="default"/>
              </w:rPr>
              <w:t>%</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≥92</w:t>
            </w:r>
            <w:r>
              <w:rPr>
                <w:rStyle w:val="PO1"/>
                <w:spacing w:val="0"/>
                <w:color w:val="auto"/>
                <w:position w:val="0"/>
                <w:sz w:val="21"/>
                <w:szCs w:val="21"/>
                <w:rFonts w:ascii="方正书宋_GBK" w:eastAsia="方正书宋_GBK" w:hAnsi="方正书宋_GBK" w:hint="default"/>
              </w:rPr>
              <w:t>%</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&lt;92%</w:t>
            </w:r>
          </w:p>
        </w:tc>
      </w:tr>
      <w:tr>
        <w:trPr>
          <w:trHeight w:hRule="atleast" w:val="227"/>
          <w:cantSplit/>
          <w:hidden w:val="0"/>
        </w:trPr>
        <w:tc>
          <w:tcPr>
            <w:tcW w:type="dxa" w:w="2341"/>
            <w:vAlign w:val="center"/>
            <w:vMerge/>
            <w:tcBorders>
              <w:bottom w:val="single" w:color="auto" w:sz="6"/>
              <w:left w:val="single" w:color="auto" w:sz="6"/>
              <w:right w:val="single" w:color="auto" w:sz="6"/>
              <w:top w:val="single" w:color="auto" w:sz="6"/>
            </w:tcBorders>
          </w:tcPr>
          <w:p/>
        </w:tc>
        <w:tc>
          <w:tcPr>
            <w:tcW w:type="dxa" w:w="1276"/>
            <w:vAlign w:val="center"/>
            <w:vMerge/>
            <w:tcBorders>
              <w:bottom w:val="single" w:color="auto" w:sz="6"/>
              <w:left w:val="single" w:color="auto" w:sz="6"/>
              <w:right w:val="single" w:color="auto" w:sz="6"/>
              <w:top w:val="single" w:color="auto" w:sz="6"/>
            </w:tcBorders>
          </w:tcPr>
          <w:p/>
        </w:tc>
        <w:tc>
          <w:tcPr>
            <w:tcW w:type="dxa" w:w="2976"/>
            <w:vAlign w:val="center"/>
            <w:vMerge/>
            <w:tcBorders>
              <w:bottom w:val="single" w:color="auto" w:sz="6"/>
              <w:left w:val="single" w:color="auto" w:sz="6"/>
              <w:right w:val="single" w:color="auto" w:sz="6"/>
              <w:top w:val="single" w:color="auto" w:sz="6"/>
            </w:tcBorders>
          </w:tcPr>
          <w:p/>
        </w:tc>
        <w:tc>
          <w:tcPr>
            <w:tcW w:type="dxa" w:w="2976"/>
            <w:vAlign w:val="center"/>
            <w:vMerge/>
            <w:tcBorders>
              <w:bottom w:val="single" w:color="auto" w:sz="6"/>
              <w:left w:val="single" w:color="auto" w:sz="6"/>
              <w:right w:val="single" w:color="auto" w:sz="6"/>
              <w:top w:val="single" w:color="auto" w:sz="6"/>
            </w:tcBorders>
          </w:tcPr>
          <w:p/>
        </w:tc>
        <w:tc>
          <w:tcPr>
            <w:tcW w:type="dxa" w:w="141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专项统计完</w:t>
            </w:r>
            <w:r>
              <w:rPr>
                <w:rStyle w:val="PO1"/>
                <w:spacing w:val="0"/>
                <w:color w:val="auto"/>
                <w:position w:val="0"/>
                <w:sz w:val="21"/>
                <w:szCs w:val="21"/>
                <w:rFonts w:ascii="方正书宋_GBK" w:eastAsia="方正书宋_GBK" w:hAnsi="方正书宋_GBK" w:hint="default"/>
              </w:rPr>
              <w:t>成率</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≥98</w:t>
            </w:r>
            <w:r>
              <w:rPr>
                <w:rStyle w:val="PO1"/>
                <w:spacing w:val="0"/>
                <w:color w:val="auto"/>
                <w:position w:val="0"/>
                <w:sz w:val="21"/>
                <w:szCs w:val="21"/>
                <w:rFonts w:ascii="方正书宋_GBK" w:eastAsia="方正书宋_GBK" w:hAnsi="方正书宋_GBK" w:hint="default"/>
              </w:rPr>
              <w:t>%</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≥95</w:t>
            </w:r>
            <w:r>
              <w:rPr>
                <w:rStyle w:val="PO1"/>
                <w:spacing w:val="0"/>
                <w:color w:val="auto"/>
                <w:position w:val="0"/>
                <w:sz w:val="21"/>
                <w:szCs w:val="21"/>
                <w:rFonts w:ascii="方正书宋_GBK" w:eastAsia="方正书宋_GBK" w:hAnsi="方正书宋_GBK" w:hint="default"/>
              </w:rPr>
              <w:t>%</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≥92</w:t>
            </w:r>
            <w:r>
              <w:rPr>
                <w:rStyle w:val="PO1"/>
                <w:spacing w:val="0"/>
                <w:color w:val="auto"/>
                <w:position w:val="0"/>
                <w:sz w:val="21"/>
                <w:szCs w:val="21"/>
                <w:rFonts w:ascii="方正书宋_GBK" w:eastAsia="方正书宋_GBK" w:hAnsi="方正书宋_GBK" w:hint="default"/>
              </w:rPr>
              <w:t>%</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&lt;92%</w:t>
            </w:r>
          </w:p>
        </w:tc>
      </w:tr>
      <w:tr>
        <w:trPr>
          <w:trHeight w:hRule="atleast" w:val="227"/>
          <w:cantSplit/>
          <w:hidden w:val="0"/>
        </w:trPr>
        <w:tc>
          <w:tcPr>
            <w:tcW w:type="dxa" w:w="2341"/>
            <w:vAlign w:val="center"/>
            <w:vMerge/>
            <w:tcBorders>
              <w:bottom w:val="single" w:color="auto" w:sz="6"/>
              <w:left w:val="single" w:color="auto" w:sz="6"/>
              <w:right w:val="single" w:color="auto" w:sz="6"/>
              <w:top w:val="single" w:color="auto" w:sz="6"/>
            </w:tcBorders>
          </w:tcPr>
          <w:p/>
        </w:tc>
        <w:tc>
          <w:tcPr>
            <w:tcW w:type="dxa" w:w="1276"/>
            <w:vAlign w:val="center"/>
            <w:vMerge/>
            <w:tcBorders>
              <w:bottom w:val="single" w:color="auto" w:sz="6"/>
              <w:left w:val="single" w:color="auto" w:sz="6"/>
              <w:right w:val="single" w:color="auto" w:sz="6"/>
              <w:top w:val="single" w:color="auto" w:sz="6"/>
            </w:tcBorders>
          </w:tcPr>
          <w:p/>
        </w:tc>
        <w:tc>
          <w:tcPr>
            <w:tcW w:type="dxa" w:w="2976"/>
            <w:vAlign w:val="center"/>
            <w:vMerge/>
            <w:tcBorders>
              <w:bottom w:val="single" w:color="auto" w:sz="6"/>
              <w:left w:val="single" w:color="auto" w:sz="6"/>
              <w:right w:val="single" w:color="auto" w:sz="6"/>
              <w:top w:val="single" w:color="auto" w:sz="6"/>
            </w:tcBorders>
          </w:tcPr>
          <w:p/>
        </w:tc>
        <w:tc>
          <w:tcPr>
            <w:tcW w:type="dxa" w:w="2976"/>
            <w:vAlign w:val="center"/>
            <w:vMerge/>
            <w:tcBorders>
              <w:bottom w:val="single" w:color="auto" w:sz="6"/>
              <w:left w:val="single" w:color="auto" w:sz="6"/>
              <w:right w:val="single" w:color="auto" w:sz="6"/>
              <w:top w:val="single" w:color="auto" w:sz="6"/>
            </w:tcBorders>
          </w:tcPr>
          <w:p/>
        </w:tc>
        <w:tc>
          <w:tcPr>
            <w:tcW w:type="dxa" w:w="141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业务培训覆</w:t>
            </w:r>
            <w:r>
              <w:rPr>
                <w:rStyle w:val="PO1"/>
                <w:spacing w:val="0"/>
                <w:color w:val="auto"/>
                <w:position w:val="0"/>
                <w:sz w:val="21"/>
                <w:szCs w:val="21"/>
                <w:rFonts w:ascii="方正书宋_GBK" w:eastAsia="方正书宋_GBK" w:hAnsi="方正书宋_GBK" w:hint="default"/>
              </w:rPr>
              <w:t>盖率</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≥98</w:t>
            </w:r>
            <w:r>
              <w:rPr>
                <w:rStyle w:val="PO1"/>
                <w:spacing w:val="0"/>
                <w:color w:val="auto"/>
                <w:position w:val="0"/>
                <w:sz w:val="21"/>
                <w:szCs w:val="21"/>
                <w:rFonts w:ascii="方正书宋_GBK" w:eastAsia="方正书宋_GBK" w:hAnsi="方正书宋_GBK" w:hint="default"/>
              </w:rPr>
              <w:t>%</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≥95</w:t>
            </w:r>
            <w:r>
              <w:rPr>
                <w:rStyle w:val="PO1"/>
                <w:spacing w:val="0"/>
                <w:color w:val="auto"/>
                <w:position w:val="0"/>
                <w:sz w:val="21"/>
                <w:szCs w:val="21"/>
                <w:rFonts w:ascii="方正书宋_GBK" w:eastAsia="方正书宋_GBK" w:hAnsi="方正书宋_GBK" w:hint="default"/>
              </w:rPr>
              <w:t>%</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≥92</w:t>
            </w:r>
            <w:r>
              <w:rPr>
                <w:rStyle w:val="PO1"/>
                <w:spacing w:val="0"/>
                <w:color w:val="auto"/>
                <w:position w:val="0"/>
                <w:sz w:val="21"/>
                <w:szCs w:val="21"/>
                <w:rFonts w:ascii="方正书宋_GBK" w:eastAsia="方正书宋_GBK" w:hAnsi="方正书宋_GBK" w:hint="default"/>
              </w:rPr>
              <w:t>%</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&lt;92%</w:t>
            </w:r>
          </w:p>
        </w:tc>
      </w:tr>
      <w:tr>
        <w:trPr>
          <w:trHeight w:hRule="atleast" w:val="227"/>
          <w:cantSplit/>
          <w:hidden w:val="0"/>
        </w:trPr>
        <w:tc>
          <w:tcPr>
            <w:tcW w:type="dxa" w:w="2341"/>
            <w:vAlign w:val="center"/>
            <w:vMerge/>
            <w:tcBorders>
              <w:bottom w:val="single" w:color="auto" w:sz="6"/>
              <w:left w:val="single" w:color="auto" w:sz="6"/>
              <w:right w:val="single" w:color="auto" w:sz="6"/>
              <w:top w:val="single" w:color="auto" w:sz="6"/>
            </w:tcBorders>
          </w:tcPr>
          <w:p/>
        </w:tc>
        <w:tc>
          <w:tcPr>
            <w:tcW w:type="dxa" w:w="1276"/>
            <w:vAlign w:val="center"/>
            <w:vMerge/>
            <w:tcBorders>
              <w:bottom w:val="single" w:color="auto" w:sz="6"/>
              <w:left w:val="single" w:color="auto" w:sz="6"/>
              <w:right w:val="single" w:color="auto" w:sz="6"/>
              <w:top w:val="single" w:color="auto" w:sz="6"/>
            </w:tcBorders>
          </w:tcPr>
          <w:p/>
        </w:tc>
        <w:tc>
          <w:tcPr>
            <w:tcW w:type="dxa" w:w="2976"/>
            <w:vAlign w:val="center"/>
            <w:vMerge/>
            <w:tcBorders>
              <w:bottom w:val="single" w:color="auto" w:sz="6"/>
              <w:left w:val="single" w:color="auto" w:sz="6"/>
              <w:right w:val="single" w:color="auto" w:sz="6"/>
              <w:top w:val="single" w:color="auto" w:sz="6"/>
            </w:tcBorders>
          </w:tcPr>
          <w:p/>
        </w:tc>
        <w:tc>
          <w:tcPr>
            <w:tcW w:type="dxa" w:w="2976"/>
            <w:vAlign w:val="center"/>
            <w:vMerge/>
            <w:tcBorders>
              <w:bottom w:val="single" w:color="auto" w:sz="6"/>
              <w:left w:val="single" w:color="auto" w:sz="6"/>
              <w:right w:val="single" w:color="auto" w:sz="6"/>
              <w:top w:val="single" w:color="auto" w:sz="6"/>
            </w:tcBorders>
          </w:tcPr>
          <w:p/>
        </w:tc>
        <w:tc>
          <w:tcPr>
            <w:tcW w:type="dxa" w:w="141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统计信息采</w:t>
            </w:r>
            <w:r>
              <w:rPr>
                <w:rStyle w:val="PO1"/>
                <w:spacing w:val="0"/>
                <w:color w:val="auto"/>
                <w:position w:val="0"/>
                <w:sz w:val="21"/>
                <w:szCs w:val="21"/>
                <w:rFonts w:ascii="方正书宋_GBK" w:eastAsia="方正书宋_GBK" w:hAnsi="方正书宋_GBK" w:hint="default"/>
              </w:rPr>
              <w:t>用量(篇)</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≥6</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≥5</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≥3</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&lt;3</w:t>
            </w:r>
          </w:p>
        </w:tc>
      </w:tr>
      <w:tr>
        <w:trPr>
          <w:trHeight w:hRule="atleast" w:val="227"/>
          <w:hidden w:val="0"/>
        </w:trPr>
        <w:tc>
          <w:tcPr>
            <w:tcW w:type="dxa" w:w="2341"/>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b w:val="1"/>
                <w:color w:val="auto"/>
                <w:position w:val="0"/>
                <w:sz w:val="21"/>
                <w:szCs w:val="21"/>
                <w:rFonts w:ascii="方正书宋_GBK" w:eastAsia="方正书宋_GBK" w:hAnsi="方正书宋_GBK" w:hint="default"/>
              </w:rPr>
              <w:wordWrap w:val="off"/>
              <w:snapToGrid w:val="on"/>
              <w:autoSpaceDE w:val="1"/>
              <w:autoSpaceDN w:val="1"/>
            </w:pPr>
            <w:r>
              <w:rPr>
                <w:rStyle w:val="PO1"/>
                <w:spacing w:val="0"/>
                <w:b w:val="1"/>
                <w:color w:val="auto"/>
                <w:position w:val="0"/>
                <w:sz w:val="21"/>
                <w:szCs w:val="21"/>
                <w:rFonts w:ascii="方正书宋_GBK" w:eastAsia="方正书宋_GBK" w:hAnsi="方正书宋_GBK" w:hint="default"/>
              </w:rPr>
              <w:t>二、统计调查</w:t>
            </w:r>
          </w:p>
        </w:tc>
        <w:tc>
          <w:tcPr>
            <w:tcW w:type="dxa" w:w="1276"/>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235.00</w:t>
            </w:r>
          </w:p>
        </w:tc>
        <w:tc>
          <w:tcPr>
            <w:tcW w:type="dxa" w:w="2976"/>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组织国情国力普查和涉及工</w:t>
            </w:r>
            <w:r>
              <w:rPr>
                <w:rStyle w:val="PO1"/>
                <w:spacing w:val="0"/>
                <w:color w:val="auto"/>
                <w:position w:val="0"/>
                <w:sz w:val="21"/>
                <w:szCs w:val="21"/>
                <w:rFonts w:ascii="方正书宋_GBK" w:eastAsia="方正书宋_GBK" w:hAnsi="方正书宋_GBK" w:hint="default"/>
              </w:rPr>
              <w:t>业、农业、社科、教育、节</w:t>
            </w:r>
            <w:r>
              <w:rPr>
                <w:rStyle w:val="PO1"/>
                <w:spacing w:val="0"/>
                <w:color w:val="auto"/>
                <w:position w:val="0"/>
                <w:sz w:val="21"/>
                <w:szCs w:val="21"/>
                <w:rFonts w:ascii="方正书宋_GBK" w:eastAsia="方正书宋_GBK" w:hAnsi="方正书宋_GBK" w:hint="default"/>
              </w:rPr>
              <w:t>能、卫生等相关行业的专项统</w:t>
            </w:r>
            <w:r>
              <w:rPr>
                <w:rStyle w:val="PO1"/>
                <w:spacing w:val="0"/>
                <w:color w:val="auto"/>
                <w:position w:val="0"/>
                <w:sz w:val="21"/>
                <w:szCs w:val="21"/>
                <w:rFonts w:ascii="方正书宋_GBK" w:eastAsia="方正书宋_GBK" w:hAnsi="方正书宋_GBK" w:hint="default"/>
              </w:rPr>
              <w:t>计调查监测，收集、整理统计</w:t>
            </w:r>
            <w:r>
              <w:rPr>
                <w:rStyle w:val="PO1"/>
                <w:spacing w:val="0"/>
                <w:color w:val="auto"/>
                <w:position w:val="0"/>
                <w:sz w:val="21"/>
                <w:szCs w:val="21"/>
                <w:rFonts w:ascii="方正书宋_GBK" w:eastAsia="方正书宋_GBK" w:hAnsi="方正书宋_GBK" w:hint="default"/>
              </w:rPr>
              <w:t>数据，提供咨询建议。</w:t>
            </w:r>
          </w:p>
        </w:tc>
        <w:tc>
          <w:tcPr>
            <w:tcW w:type="dxa" w:w="2976"/>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进行业务培训，组织开展深层</w:t>
            </w:r>
            <w:r>
              <w:rPr>
                <w:rStyle w:val="PO1"/>
                <w:spacing w:val="0"/>
                <w:color w:val="auto"/>
                <w:position w:val="0"/>
                <w:sz w:val="21"/>
                <w:szCs w:val="21"/>
                <w:rFonts w:ascii="方正书宋_GBK" w:eastAsia="方正书宋_GBK" w:hAnsi="方正书宋_GBK" w:hint="default"/>
              </w:rPr>
              <w:t>次课题研究，发布普查主要数</w:t>
            </w:r>
            <w:r>
              <w:rPr>
                <w:rStyle w:val="PO1"/>
                <w:spacing w:val="0"/>
                <w:color w:val="auto"/>
                <w:position w:val="0"/>
                <w:sz w:val="21"/>
                <w:szCs w:val="21"/>
                <w:rFonts w:ascii="方正书宋_GBK" w:eastAsia="方正书宋_GBK" w:hAnsi="方正书宋_GBK" w:hint="default"/>
              </w:rPr>
              <w:t>据公报，完成普查工作总结和</w:t>
            </w:r>
            <w:r>
              <w:rPr>
                <w:rStyle w:val="PO1"/>
                <w:spacing w:val="0"/>
                <w:color w:val="auto"/>
                <w:position w:val="0"/>
                <w:sz w:val="21"/>
                <w:szCs w:val="21"/>
                <w:rFonts w:ascii="方正书宋_GBK" w:eastAsia="方正书宋_GBK" w:hAnsi="方正书宋_GBK" w:hint="default"/>
              </w:rPr>
              <w:t>表彰。</w:t>
            </w:r>
          </w:p>
        </w:tc>
        <w:tc>
          <w:tcPr>
            <w:tcW w:type="dxa" w:w="141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p>
        </w:tc>
      </w:tr>
      <w:tr>
        <w:trPr>
          <w:trHeight w:hRule="atleast" w:val="227"/>
          <w:cantSplit/>
          <w:hidden w:val="0"/>
        </w:trPr>
        <w:tc>
          <w:tcPr>
            <w:tcW w:type="dxa" w:w="2341"/>
            <w:tcMar>
              <w:left w:w="108" w:type="dxa"/>
              <w:right w:w="108" w:type="dxa"/>
            </w:tcMar>
            <w:vAlign w:val="center"/>
            <w:vMerge w:val="restart"/>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b w:val="1"/>
                <w:color w:val="auto"/>
                <w:position w:val="0"/>
                <w:sz w:val="21"/>
                <w:szCs w:val="21"/>
                <w:rFonts w:ascii="方正书宋_GBK" w:eastAsia="方正书宋_GBK" w:hAnsi="方正书宋_GBK" w:hint="default"/>
              </w:rPr>
              <w:wordWrap w:val="off"/>
              <w:snapToGrid w:val="on"/>
              <w:autoSpaceDE w:val="1"/>
              <w:autoSpaceDN w:val="1"/>
            </w:pPr>
            <w:r>
              <w:rPr>
                <w:rStyle w:val="PO1"/>
                <w:spacing w:val="0"/>
                <w:b w:val="1"/>
                <w:color w:val="auto"/>
                <w:position w:val="0"/>
                <w:sz w:val="21"/>
                <w:szCs w:val="21"/>
                <w:rFonts w:ascii="方正书宋_GBK" w:eastAsia="方正书宋_GBK" w:hAnsi="方正书宋_GBK" w:hint="default"/>
              </w:rPr>
              <w:t>　　1、国情国力普查</w:t>
            </w:r>
          </w:p>
        </w:tc>
        <w:tc>
          <w:tcPr>
            <w:tcW w:type="dxa" w:w="1276"/>
            <w:tcMar>
              <w:left w:w="108" w:type="dxa"/>
              <w:right w:w="108" w:type="dxa"/>
            </w:tcMar>
            <w:vAlign w:val="center"/>
            <w:vMerge w:val="restart"/>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150.00</w:t>
            </w:r>
          </w:p>
        </w:tc>
        <w:tc>
          <w:tcPr>
            <w:tcW w:type="dxa" w:w="2976"/>
            <w:tcMar>
              <w:left w:w="108" w:type="dxa"/>
              <w:right w:w="108" w:type="dxa"/>
            </w:tcMar>
            <w:vAlign w:val="center"/>
            <w:vMerge w:val="restart"/>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组织完成国情国力普查及重要</w:t>
            </w:r>
            <w:r>
              <w:rPr>
                <w:rStyle w:val="PO1"/>
                <w:spacing w:val="0"/>
                <w:color w:val="auto"/>
                <w:position w:val="0"/>
                <w:sz w:val="21"/>
                <w:szCs w:val="21"/>
                <w:rFonts w:ascii="方正书宋_GBK" w:eastAsia="方正书宋_GBK" w:hAnsi="方正书宋_GBK" w:hint="default"/>
              </w:rPr>
              <w:t>调查任务，研究提出重大县情</w:t>
            </w:r>
            <w:r>
              <w:rPr>
                <w:rStyle w:val="PO1"/>
                <w:spacing w:val="0"/>
                <w:color w:val="auto"/>
                <w:position w:val="0"/>
                <w:sz w:val="21"/>
                <w:szCs w:val="21"/>
                <w:rFonts w:ascii="方正书宋_GBK" w:eastAsia="方正书宋_GBK" w:hAnsi="方正书宋_GBK" w:hint="default"/>
              </w:rPr>
              <w:t>县力普查和抽样调查计划并组</w:t>
            </w:r>
            <w:r>
              <w:rPr>
                <w:rStyle w:val="PO1"/>
                <w:spacing w:val="0"/>
                <w:color w:val="auto"/>
                <w:position w:val="0"/>
                <w:sz w:val="21"/>
                <w:szCs w:val="21"/>
                <w:rFonts w:ascii="方正书宋_GBK" w:eastAsia="方正书宋_GBK" w:hAnsi="方正书宋_GBK" w:hint="default"/>
              </w:rPr>
              <w:t>织实施，汇总、整理和提供有</w:t>
            </w:r>
            <w:r>
              <w:rPr>
                <w:rStyle w:val="PO1"/>
                <w:spacing w:val="0"/>
                <w:color w:val="auto"/>
                <w:position w:val="0"/>
                <w:sz w:val="21"/>
                <w:szCs w:val="21"/>
                <w:rFonts w:ascii="方正书宋_GBK" w:eastAsia="方正书宋_GBK" w:hAnsi="方正书宋_GBK" w:hint="default"/>
              </w:rPr>
              <w:t>关县情县力方面的统计数据。</w:t>
            </w:r>
          </w:p>
        </w:tc>
        <w:tc>
          <w:tcPr>
            <w:tcW w:type="dxa" w:w="2976"/>
            <w:tcMar>
              <w:left w:w="108" w:type="dxa"/>
              <w:right w:w="108" w:type="dxa"/>
            </w:tcMar>
            <w:vAlign w:val="center"/>
            <w:vMerge w:val="restart"/>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按照国家统计局、财政部关于</w:t>
            </w:r>
            <w:r>
              <w:rPr>
                <w:rStyle w:val="PO1"/>
                <w:spacing w:val="0"/>
                <w:color w:val="auto"/>
                <w:position w:val="0"/>
                <w:sz w:val="21"/>
                <w:szCs w:val="21"/>
                <w:rFonts w:ascii="方正书宋_GBK" w:eastAsia="方正书宋_GBK" w:hAnsi="方正书宋_GBK" w:hint="default"/>
              </w:rPr>
              <w:t>印发《关于统计部门周期性普</w:t>
            </w:r>
            <w:r>
              <w:rPr>
                <w:rStyle w:val="PO1"/>
                <w:spacing w:val="0"/>
                <w:color w:val="auto"/>
                <w:position w:val="0"/>
                <w:sz w:val="21"/>
                <w:szCs w:val="21"/>
                <w:rFonts w:ascii="方正书宋_GBK" w:eastAsia="方正书宋_GBK" w:hAnsi="方正书宋_GBK" w:hint="default"/>
              </w:rPr>
              <w:t>查和大型调查经费开支问题的</w:t>
            </w:r>
            <w:r>
              <w:rPr>
                <w:rStyle w:val="PO1"/>
                <w:spacing w:val="0"/>
                <w:color w:val="auto"/>
                <w:position w:val="0"/>
                <w:sz w:val="21"/>
                <w:szCs w:val="21"/>
                <w:rFonts w:ascii="方正书宋_GBK" w:eastAsia="方正书宋_GBK" w:hAnsi="方正书宋_GBK" w:hint="default"/>
              </w:rPr>
              <w:t>暂行规定》，分年度完成普查</w:t>
            </w:r>
            <w:r>
              <w:rPr>
                <w:rStyle w:val="PO1"/>
                <w:spacing w:val="0"/>
                <w:color w:val="auto"/>
                <w:position w:val="0"/>
                <w:sz w:val="21"/>
                <w:szCs w:val="21"/>
                <w:rFonts w:ascii="方正书宋_GBK" w:eastAsia="方正书宋_GBK" w:hAnsi="方正书宋_GBK" w:hint="default"/>
              </w:rPr>
              <w:t>工作，确保普查的顺利完成。</w:t>
            </w:r>
          </w:p>
        </w:tc>
        <w:tc>
          <w:tcPr>
            <w:tcW w:type="dxa" w:w="141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调查对象覆</w:t>
            </w:r>
            <w:r>
              <w:rPr>
                <w:rStyle w:val="PO1"/>
                <w:spacing w:val="0"/>
                <w:color w:val="auto"/>
                <w:position w:val="0"/>
                <w:sz w:val="21"/>
                <w:szCs w:val="21"/>
                <w:rFonts w:ascii="方正书宋_GBK" w:eastAsia="方正书宋_GBK" w:hAnsi="方正书宋_GBK" w:hint="default"/>
              </w:rPr>
              <w:t>盖率</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≥98</w:t>
            </w:r>
            <w:r>
              <w:rPr>
                <w:rStyle w:val="PO1"/>
                <w:spacing w:val="0"/>
                <w:color w:val="auto"/>
                <w:position w:val="0"/>
                <w:sz w:val="21"/>
                <w:szCs w:val="21"/>
                <w:rFonts w:ascii="方正书宋_GBK" w:eastAsia="方正书宋_GBK" w:hAnsi="方正书宋_GBK" w:hint="default"/>
              </w:rPr>
              <w:t>%</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≥95</w:t>
            </w:r>
            <w:r>
              <w:rPr>
                <w:rStyle w:val="PO1"/>
                <w:spacing w:val="0"/>
                <w:color w:val="auto"/>
                <w:position w:val="0"/>
                <w:sz w:val="21"/>
                <w:szCs w:val="21"/>
                <w:rFonts w:ascii="方正书宋_GBK" w:eastAsia="方正书宋_GBK" w:hAnsi="方正书宋_GBK" w:hint="default"/>
              </w:rPr>
              <w:t>%</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≥92</w:t>
            </w:r>
            <w:r>
              <w:rPr>
                <w:rStyle w:val="PO1"/>
                <w:spacing w:val="0"/>
                <w:color w:val="auto"/>
                <w:position w:val="0"/>
                <w:sz w:val="21"/>
                <w:szCs w:val="21"/>
                <w:rFonts w:ascii="方正书宋_GBK" w:eastAsia="方正书宋_GBK" w:hAnsi="方正书宋_GBK" w:hint="default"/>
              </w:rPr>
              <w:t>%</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&lt;92%</w:t>
            </w:r>
          </w:p>
        </w:tc>
      </w:tr>
      <w:tr>
        <w:trPr>
          <w:trHeight w:hRule="atleast" w:val="227"/>
          <w:cantSplit/>
          <w:hidden w:val="0"/>
        </w:trPr>
        <w:tc>
          <w:tcPr>
            <w:tcW w:type="dxa" w:w="2341"/>
            <w:vAlign w:val="center"/>
            <w:vMerge/>
            <w:tcBorders>
              <w:bottom w:val="single" w:color="auto" w:sz="6"/>
              <w:left w:val="single" w:color="auto" w:sz="6"/>
              <w:right w:val="single" w:color="auto" w:sz="6"/>
              <w:top w:val="single" w:color="auto" w:sz="6"/>
            </w:tcBorders>
          </w:tcPr>
          <w:p/>
        </w:tc>
        <w:tc>
          <w:tcPr>
            <w:tcW w:type="dxa" w:w="1276"/>
            <w:vAlign w:val="center"/>
            <w:vMerge/>
            <w:tcBorders>
              <w:bottom w:val="single" w:color="auto" w:sz="6"/>
              <w:left w:val="single" w:color="auto" w:sz="6"/>
              <w:right w:val="single" w:color="auto" w:sz="6"/>
              <w:top w:val="single" w:color="auto" w:sz="6"/>
            </w:tcBorders>
          </w:tcPr>
          <w:p/>
        </w:tc>
        <w:tc>
          <w:tcPr>
            <w:tcW w:type="dxa" w:w="2976"/>
            <w:vAlign w:val="center"/>
            <w:vMerge/>
            <w:tcBorders>
              <w:bottom w:val="single" w:color="auto" w:sz="6"/>
              <w:left w:val="single" w:color="auto" w:sz="6"/>
              <w:right w:val="single" w:color="auto" w:sz="6"/>
              <w:top w:val="single" w:color="auto" w:sz="6"/>
            </w:tcBorders>
          </w:tcPr>
          <w:p/>
        </w:tc>
        <w:tc>
          <w:tcPr>
            <w:tcW w:type="dxa" w:w="2976"/>
            <w:vAlign w:val="center"/>
            <w:vMerge/>
            <w:tcBorders>
              <w:bottom w:val="single" w:color="auto" w:sz="6"/>
              <w:left w:val="single" w:color="auto" w:sz="6"/>
              <w:right w:val="single" w:color="auto" w:sz="6"/>
              <w:top w:val="single" w:color="auto" w:sz="6"/>
            </w:tcBorders>
          </w:tcPr>
          <w:p/>
        </w:tc>
        <w:tc>
          <w:tcPr>
            <w:tcW w:type="dxa" w:w="141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普查统计完</w:t>
            </w:r>
            <w:r>
              <w:rPr>
                <w:rStyle w:val="PO1"/>
                <w:spacing w:val="0"/>
                <w:color w:val="auto"/>
                <w:position w:val="0"/>
                <w:sz w:val="21"/>
                <w:szCs w:val="21"/>
                <w:rFonts w:ascii="方正书宋_GBK" w:eastAsia="方正书宋_GBK" w:hAnsi="方正书宋_GBK" w:hint="default"/>
              </w:rPr>
              <w:t>成率</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≥98</w:t>
            </w:r>
            <w:r>
              <w:rPr>
                <w:rStyle w:val="PO1"/>
                <w:spacing w:val="0"/>
                <w:color w:val="auto"/>
                <w:position w:val="0"/>
                <w:sz w:val="21"/>
                <w:szCs w:val="21"/>
                <w:rFonts w:ascii="方正书宋_GBK" w:eastAsia="方正书宋_GBK" w:hAnsi="方正书宋_GBK" w:hint="default"/>
              </w:rPr>
              <w:t>%</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≥95</w:t>
            </w:r>
            <w:r>
              <w:rPr>
                <w:rStyle w:val="PO1"/>
                <w:spacing w:val="0"/>
                <w:color w:val="auto"/>
                <w:position w:val="0"/>
                <w:sz w:val="21"/>
                <w:szCs w:val="21"/>
                <w:rFonts w:ascii="方正书宋_GBK" w:eastAsia="方正书宋_GBK" w:hAnsi="方正书宋_GBK" w:hint="default"/>
              </w:rPr>
              <w:t>%</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≥92</w:t>
            </w:r>
            <w:r>
              <w:rPr>
                <w:rStyle w:val="PO1"/>
                <w:spacing w:val="0"/>
                <w:color w:val="auto"/>
                <w:position w:val="0"/>
                <w:sz w:val="21"/>
                <w:szCs w:val="21"/>
                <w:rFonts w:ascii="方正书宋_GBK" w:eastAsia="方正书宋_GBK" w:hAnsi="方正书宋_GBK" w:hint="default"/>
              </w:rPr>
              <w:t>%</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&lt;92%</w:t>
            </w:r>
          </w:p>
        </w:tc>
      </w:tr>
      <w:tr>
        <w:trPr>
          <w:trHeight w:hRule="atleast" w:val="227"/>
          <w:cantSplit/>
          <w:hidden w:val="0"/>
        </w:trPr>
        <w:tc>
          <w:tcPr>
            <w:tcW w:type="dxa" w:w="2341"/>
            <w:vAlign w:val="center"/>
            <w:vMerge/>
            <w:tcBorders>
              <w:bottom w:val="single" w:color="auto" w:sz="6"/>
              <w:left w:val="single" w:color="auto" w:sz="6"/>
              <w:right w:val="single" w:color="auto" w:sz="6"/>
              <w:top w:val="single" w:color="auto" w:sz="6"/>
            </w:tcBorders>
          </w:tcPr>
          <w:p/>
        </w:tc>
        <w:tc>
          <w:tcPr>
            <w:tcW w:type="dxa" w:w="1276"/>
            <w:vAlign w:val="center"/>
            <w:vMerge/>
            <w:tcBorders>
              <w:bottom w:val="single" w:color="auto" w:sz="6"/>
              <w:left w:val="single" w:color="auto" w:sz="6"/>
              <w:right w:val="single" w:color="auto" w:sz="6"/>
              <w:top w:val="single" w:color="auto" w:sz="6"/>
            </w:tcBorders>
          </w:tcPr>
          <w:p/>
        </w:tc>
        <w:tc>
          <w:tcPr>
            <w:tcW w:type="dxa" w:w="2976"/>
            <w:vAlign w:val="center"/>
            <w:vMerge/>
            <w:tcBorders>
              <w:bottom w:val="single" w:color="auto" w:sz="6"/>
              <w:left w:val="single" w:color="auto" w:sz="6"/>
              <w:right w:val="single" w:color="auto" w:sz="6"/>
              <w:top w:val="single" w:color="auto" w:sz="6"/>
            </w:tcBorders>
          </w:tcPr>
          <w:p/>
        </w:tc>
        <w:tc>
          <w:tcPr>
            <w:tcW w:type="dxa" w:w="2976"/>
            <w:vAlign w:val="center"/>
            <w:vMerge/>
            <w:tcBorders>
              <w:bottom w:val="single" w:color="auto" w:sz="6"/>
              <w:left w:val="single" w:color="auto" w:sz="6"/>
              <w:right w:val="single" w:color="auto" w:sz="6"/>
              <w:top w:val="single" w:color="auto" w:sz="6"/>
            </w:tcBorders>
          </w:tcPr>
          <w:p/>
        </w:tc>
        <w:tc>
          <w:tcPr>
            <w:tcW w:type="dxa" w:w="141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业务培训覆</w:t>
            </w:r>
            <w:r>
              <w:rPr>
                <w:rStyle w:val="PO1"/>
                <w:spacing w:val="0"/>
                <w:color w:val="auto"/>
                <w:position w:val="0"/>
                <w:sz w:val="21"/>
                <w:szCs w:val="21"/>
                <w:rFonts w:ascii="方正书宋_GBK" w:eastAsia="方正书宋_GBK" w:hAnsi="方正书宋_GBK" w:hint="default"/>
              </w:rPr>
              <w:t>盖率</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≥98</w:t>
            </w:r>
            <w:r>
              <w:rPr>
                <w:rStyle w:val="PO1"/>
                <w:spacing w:val="0"/>
                <w:color w:val="auto"/>
                <w:position w:val="0"/>
                <w:sz w:val="21"/>
                <w:szCs w:val="21"/>
                <w:rFonts w:ascii="方正书宋_GBK" w:eastAsia="方正书宋_GBK" w:hAnsi="方正书宋_GBK" w:hint="default"/>
              </w:rPr>
              <w:t>%</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≥95</w:t>
            </w:r>
            <w:r>
              <w:rPr>
                <w:rStyle w:val="PO1"/>
                <w:spacing w:val="0"/>
                <w:color w:val="auto"/>
                <w:position w:val="0"/>
                <w:sz w:val="21"/>
                <w:szCs w:val="21"/>
                <w:rFonts w:ascii="方正书宋_GBK" w:eastAsia="方正书宋_GBK" w:hAnsi="方正书宋_GBK" w:hint="default"/>
              </w:rPr>
              <w:t>%</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≥92</w:t>
            </w:r>
            <w:r>
              <w:rPr>
                <w:rStyle w:val="PO1"/>
                <w:spacing w:val="0"/>
                <w:color w:val="auto"/>
                <w:position w:val="0"/>
                <w:sz w:val="21"/>
                <w:szCs w:val="21"/>
                <w:rFonts w:ascii="方正书宋_GBK" w:eastAsia="方正书宋_GBK" w:hAnsi="方正书宋_GBK" w:hint="default"/>
              </w:rPr>
              <w:t>%</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&lt;92%</w:t>
            </w:r>
          </w:p>
        </w:tc>
      </w:tr>
      <w:tr>
        <w:trPr>
          <w:trHeight w:hRule="atleast" w:val="227"/>
          <w:cantSplit/>
          <w:hidden w:val="0"/>
        </w:trPr>
        <w:tc>
          <w:tcPr>
            <w:tcW w:type="dxa" w:w="2341"/>
            <w:vAlign w:val="center"/>
            <w:vMerge/>
            <w:tcBorders>
              <w:bottom w:val="single" w:color="auto" w:sz="6"/>
              <w:left w:val="single" w:color="auto" w:sz="6"/>
              <w:right w:val="single" w:color="auto" w:sz="6"/>
              <w:top w:val="single" w:color="auto" w:sz="6"/>
            </w:tcBorders>
          </w:tcPr>
          <w:p/>
        </w:tc>
        <w:tc>
          <w:tcPr>
            <w:tcW w:type="dxa" w:w="1276"/>
            <w:vAlign w:val="center"/>
            <w:vMerge/>
            <w:tcBorders>
              <w:bottom w:val="single" w:color="auto" w:sz="6"/>
              <w:left w:val="single" w:color="auto" w:sz="6"/>
              <w:right w:val="single" w:color="auto" w:sz="6"/>
              <w:top w:val="single" w:color="auto" w:sz="6"/>
            </w:tcBorders>
          </w:tcPr>
          <w:p/>
        </w:tc>
        <w:tc>
          <w:tcPr>
            <w:tcW w:type="dxa" w:w="2976"/>
            <w:vAlign w:val="center"/>
            <w:vMerge/>
            <w:tcBorders>
              <w:bottom w:val="single" w:color="auto" w:sz="6"/>
              <w:left w:val="single" w:color="auto" w:sz="6"/>
              <w:right w:val="single" w:color="auto" w:sz="6"/>
              <w:top w:val="single" w:color="auto" w:sz="6"/>
            </w:tcBorders>
          </w:tcPr>
          <w:p/>
        </w:tc>
        <w:tc>
          <w:tcPr>
            <w:tcW w:type="dxa" w:w="2976"/>
            <w:vAlign w:val="center"/>
            <w:vMerge/>
            <w:tcBorders>
              <w:bottom w:val="single" w:color="auto" w:sz="6"/>
              <w:left w:val="single" w:color="auto" w:sz="6"/>
              <w:right w:val="single" w:color="auto" w:sz="6"/>
              <w:top w:val="single" w:color="auto" w:sz="6"/>
            </w:tcBorders>
          </w:tcPr>
          <w:p/>
        </w:tc>
        <w:tc>
          <w:tcPr>
            <w:tcW w:type="dxa" w:w="141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统计信息采</w:t>
            </w:r>
            <w:r>
              <w:rPr>
                <w:rStyle w:val="PO1"/>
                <w:spacing w:val="0"/>
                <w:color w:val="auto"/>
                <w:position w:val="0"/>
                <w:sz w:val="21"/>
                <w:szCs w:val="21"/>
                <w:rFonts w:ascii="方正书宋_GBK" w:eastAsia="方正书宋_GBK" w:hAnsi="方正书宋_GBK" w:hint="default"/>
              </w:rPr>
              <w:t>用量(篇)</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≥6</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≥5</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≥3</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&lt;3</w:t>
            </w:r>
          </w:p>
        </w:tc>
      </w:tr>
      <w:tr>
        <w:trPr>
          <w:trHeight w:hRule="atleast" w:val="227"/>
          <w:cantSplit/>
          <w:hidden w:val="0"/>
        </w:trPr>
        <w:tc>
          <w:tcPr>
            <w:tcW w:type="dxa" w:w="2341"/>
            <w:tcMar>
              <w:left w:w="108" w:type="dxa"/>
              <w:right w:w="108" w:type="dxa"/>
            </w:tcMar>
            <w:vAlign w:val="center"/>
            <w:vMerge w:val="restart"/>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b w:val="1"/>
                <w:color w:val="auto"/>
                <w:position w:val="0"/>
                <w:sz w:val="21"/>
                <w:szCs w:val="21"/>
                <w:rFonts w:ascii="方正书宋_GBK" w:eastAsia="方正书宋_GBK" w:hAnsi="方正书宋_GBK" w:hint="default"/>
              </w:rPr>
              <w:wordWrap w:val="off"/>
              <w:snapToGrid w:val="on"/>
              <w:autoSpaceDE w:val="1"/>
              <w:autoSpaceDN w:val="1"/>
            </w:pPr>
            <w:r>
              <w:rPr>
                <w:rStyle w:val="PO1"/>
                <w:spacing w:val="0"/>
                <w:b w:val="1"/>
                <w:color w:val="auto"/>
                <w:position w:val="0"/>
                <w:sz w:val="21"/>
                <w:szCs w:val="21"/>
                <w:rFonts w:ascii="方正书宋_GBK" w:eastAsia="方正书宋_GBK" w:hAnsi="方正书宋_GBK" w:hint="default"/>
              </w:rPr>
              <w:t>　　2、专项统计调查</w:t>
            </w:r>
          </w:p>
        </w:tc>
        <w:tc>
          <w:tcPr>
            <w:tcW w:type="dxa" w:w="1276"/>
            <w:tcMar>
              <w:left w:w="108" w:type="dxa"/>
              <w:right w:w="108" w:type="dxa"/>
            </w:tcMar>
            <w:vAlign w:val="center"/>
            <w:vMerge w:val="restart"/>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85.00</w:t>
            </w:r>
          </w:p>
        </w:tc>
        <w:tc>
          <w:tcPr>
            <w:tcW w:type="dxa" w:w="2976"/>
            <w:tcMar>
              <w:left w:w="108" w:type="dxa"/>
              <w:right w:w="108" w:type="dxa"/>
            </w:tcMar>
            <w:vAlign w:val="center"/>
            <w:vMerge w:val="restart"/>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根据省、市政府有关文件要求</w:t>
            </w:r>
            <w:r>
              <w:rPr>
                <w:rStyle w:val="PO1"/>
                <w:spacing w:val="0"/>
                <w:color w:val="auto"/>
                <w:position w:val="0"/>
                <w:sz w:val="21"/>
                <w:szCs w:val="21"/>
                <w:rFonts w:ascii="方正书宋_GBK" w:eastAsia="方正书宋_GBK" w:hAnsi="方正书宋_GBK" w:hint="default"/>
              </w:rPr>
              <w:t>，组织实施涉及相关行业数据</w:t>
            </w:r>
            <w:r>
              <w:rPr>
                <w:rStyle w:val="PO1"/>
                <w:spacing w:val="0"/>
                <w:color w:val="auto"/>
                <w:position w:val="0"/>
                <w:sz w:val="21"/>
                <w:szCs w:val="21"/>
                <w:rFonts w:ascii="方正书宋_GBK" w:eastAsia="方正书宋_GBK" w:hAnsi="方正书宋_GBK" w:hint="default"/>
              </w:rPr>
              <w:t>的专项统计调查。</w:t>
            </w:r>
          </w:p>
        </w:tc>
        <w:tc>
          <w:tcPr>
            <w:tcW w:type="dxa" w:w="2976"/>
            <w:tcMar>
              <w:left w:w="108" w:type="dxa"/>
              <w:right w:w="108" w:type="dxa"/>
            </w:tcMar>
            <w:vAlign w:val="center"/>
            <w:vMerge w:val="restart"/>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组织开展专项统计调查工作，</w:t>
            </w:r>
            <w:r>
              <w:rPr>
                <w:rStyle w:val="PO1"/>
                <w:spacing w:val="0"/>
                <w:color w:val="auto"/>
                <w:position w:val="0"/>
                <w:sz w:val="21"/>
                <w:szCs w:val="21"/>
                <w:rFonts w:ascii="方正书宋_GBK" w:eastAsia="方正书宋_GBK" w:hAnsi="方正书宋_GBK" w:hint="default"/>
              </w:rPr>
              <w:t>了解基层情况和动态提供统计</w:t>
            </w:r>
            <w:r>
              <w:rPr>
                <w:rStyle w:val="PO1"/>
                <w:spacing w:val="0"/>
                <w:color w:val="auto"/>
                <w:position w:val="0"/>
                <w:sz w:val="21"/>
                <w:szCs w:val="21"/>
                <w:rFonts w:ascii="方正书宋_GBK" w:eastAsia="方正书宋_GBK" w:hAnsi="方正书宋_GBK" w:hint="default"/>
              </w:rPr>
              <w:t>信息和咨询建议。</w:t>
            </w:r>
          </w:p>
        </w:tc>
        <w:tc>
          <w:tcPr>
            <w:tcW w:type="dxa" w:w="141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调查对象覆</w:t>
            </w:r>
            <w:r>
              <w:rPr>
                <w:rStyle w:val="PO1"/>
                <w:spacing w:val="0"/>
                <w:color w:val="auto"/>
                <w:position w:val="0"/>
                <w:sz w:val="21"/>
                <w:szCs w:val="21"/>
                <w:rFonts w:ascii="方正书宋_GBK" w:eastAsia="方正书宋_GBK" w:hAnsi="方正书宋_GBK" w:hint="default"/>
              </w:rPr>
              <w:t>盖率</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≥98</w:t>
            </w:r>
            <w:r>
              <w:rPr>
                <w:rStyle w:val="PO1"/>
                <w:spacing w:val="0"/>
                <w:color w:val="auto"/>
                <w:position w:val="0"/>
                <w:sz w:val="21"/>
                <w:szCs w:val="21"/>
                <w:rFonts w:ascii="方正书宋_GBK" w:eastAsia="方正书宋_GBK" w:hAnsi="方正书宋_GBK" w:hint="default"/>
              </w:rPr>
              <w:t>%</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≥95</w:t>
            </w:r>
            <w:r>
              <w:rPr>
                <w:rStyle w:val="PO1"/>
                <w:spacing w:val="0"/>
                <w:color w:val="auto"/>
                <w:position w:val="0"/>
                <w:sz w:val="21"/>
                <w:szCs w:val="21"/>
                <w:rFonts w:ascii="方正书宋_GBK" w:eastAsia="方正书宋_GBK" w:hAnsi="方正书宋_GBK" w:hint="default"/>
              </w:rPr>
              <w:t>%</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≥92</w:t>
            </w:r>
            <w:r>
              <w:rPr>
                <w:rStyle w:val="PO1"/>
                <w:spacing w:val="0"/>
                <w:color w:val="auto"/>
                <w:position w:val="0"/>
                <w:sz w:val="21"/>
                <w:szCs w:val="21"/>
                <w:rFonts w:ascii="方正书宋_GBK" w:eastAsia="方正书宋_GBK" w:hAnsi="方正书宋_GBK" w:hint="default"/>
              </w:rPr>
              <w:t>%</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&lt;92%</w:t>
            </w:r>
          </w:p>
        </w:tc>
      </w:tr>
      <w:tr>
        <w:trPr>
          <w:trHeight w:hRule="atleast" w:val="227"/>
          <w:cantSplit/>
          <w:hidden w:val="0"/>
        </w:trPr>
        <w:tc>
          <w:tcPr>
            <w:tcW w:type="dxa" w:w="2341"/>
            <w:vAlign w:val="center"/>
            <w:vMerge/>
            <w:tcBorders>
              <w:bottom w:val="single" w:color="auto" w:sz="6"/>
              <w:left w:val="single" w:color="auto" w:sz="6"/>
              <w:right w:val="single" w:color="auto" w:sz="6"/>
              <w:top w:val="single" w:color="auto" w:sz="6"/>
            </w:tcBorders>
          </w:tcPr>
          <w:p/>
        </w:tc>
        <w:tc>
          <w:tcPr>
            <w:tcW w:type="dxa" w:w="1276"/>
            <w:vAlign w:val="center"/>
            <w:vMerge/>
            <w:tcBorders>
              <w:bottom w:val="single" w:color="auto" w:sz="6"/>
              <w:left w:val="single" w:color="auto" w:sz="6"/>
              <w:right w:val="single" w:color="auto" w:sz="6"/>
              <w:top w:val="single" w:color="auto" w:sz="6"/>
            </w:tcBorders>
          </w:tcPr>
          <w:p/>
        </w:tc>
        <w:tc>
          <w:tcPr>
            <w:tcW w:type="dxa" w:w="2976"/>
            <w:vAlign w:val="center"/>
            <w:vMerge/>
            <w:tcBorders>
              <w:bottom w:val="single" w:color="auto" w:sz="6"/>
              <w:left w:val="single" w:color="auto" w:sz="6"/>
              <w:right w:val="single" w:color="auto" w:sz="6"/>
              <w:top w:val="single" w:color="auto" w:sz="6"/>
            </w:tcBorders>
          </w:tcPr>
          <w:p/>
        </w:tc>
        <w:tc>
          <w:tcPr>
            <w:tcW w:type="dxa" w:w="2976"/>
            <w:vAlign w:val="center"/>
            <w:vMerge/>
            <w:tcBorders>
              <w:bottom w:val="single" w:color="auto" w:sz="6"/>
              <w:left w:val="single" w:color="auto" w:sz="6"/>
              <w:right w:val="single" w:color="auto" w:sz="6"/>
              <w:top w:val="single" w:color="auto" w:sz="6"/>
            </w:tcBorders>
          </w:tcPr>
          <w:p/>
        </w:tc>
        <w:tc>
          <w:tcPr>
            <w:tcW w:type="dxa" w:w="141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专项统计完</w:t>
            </w:r>
            <w:r>
              <w:rPr>
                <w:rStyle w:val="PO1"/>
                <w:spacing w:val="0"/>
                <w:color w:val="auto"/>
                <w:position w:val="0"/>
                <w:sz w:val="21"/>
                <w:szCs w:val="21"/>
                <w:rFonts w:ascii="方正书宋_GBK" w:eastAsia="方正书宋_GBK" w:hAnsi="方正书宋_GBK" w:hint="default"/>
              </w:rPr>
              <w:t>成率</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≥98</w:t>
            </w:r>
            <w:r>
              <w:rPr>
                <w:rStyle w:val="PO1"/>
                <w:spacing w:val="0"/>
                <w:color w:val="auto"/>
                <w:position w:val="0"/>
                <w:sz w:val="21"/>
                <w:szCs w:val="21"/>
                <w:rFonts w:ascii="方正书宋_GBK" w:eastAsia="方正书宋_GBK" w:hAnsi="方正书宋_GBK" w:hint="default"/>
              </w:rPr>
              <w:t>%</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≥95</w:t>
            </w:r>
            <w:r>
              <w:rPr>
                <w:rStyle w:val="PO1"/>
                <w:spacing w:val="0"/>
                <w:color w:val="auto"/>
                <w:position w:val="0"/>
                <w:sz w:val="21"/>
                <w:szCs w:val="21"/>
                <w:rFonts w:ascii="方正书宋_GBK" w:eastAsia="方正书宋_GBK" w:hAnsi="方正书宋_GBK" w:hint="default"/>
              </w:rPr>
              <w:t>%</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≥92</w:t>
            </w:r>
            <w:r>
              <w:rPr>
                <w:rStyle w:val="PO1"/>
                <w:spacing w:val="0"/>
                <w:color w:val="auto"/>
                <w:position w:val="0"/>
                <w:sz w:val="21"/>
                <w:szCs w:val="21"/>
                <w:rFonts w:ascii="方正书宋_GBK" w:eastAsia="方正书宋_GBK" w:hAnsi="方正书宋_GBK" w:hint="default"/>
              </w:rPr>
              <w:t>%</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&lt;92%</w:t>
            </w:r>
          </w:p>
        </w:tc>
      </w:tr>
      <w:tr>
        <w:trPr>
          <w:trHeight w:hRule="atleast" w:val="227"/>
          <w:cantSplit/>
          <w:hidden w:val="0"/>
        </w:trPr>
        <w:tc>
          <w:tcPr>
            <w:tcW w:type="dxa" w:w="2341"/>
            <w:vAlign w:val="center"/>
            <w:vMerge/>
            <w:tcBorders>
              <w:bottom w:val="single" w:color="auto" w:sz="6"/>
              <w:left w:val="single" w:color="auto" w:sz="6"/>
              <w:right w:val="single" w:color="auto" w:sz="6"/>
              <w:top w:val="single" w:color="auto" w:sz="6"/>
            </w:tcBorders>
          </w:tcPr>
          <w:p/>
        </w:tc>
        <w:tc>
          <w:tcPr>
            <w:tcW w:type="dxa" w:w="1276"/>
            <w:vAlign w:val="center"/>
            <w:vMerge/>
            <w:tcBorders>
              <w:bottom w:val="single" w:color="auto" w:sz="6"/>
              <w:left w:val="single" w:color="auto" w:sz="6"/>
              <w:right w:val="single" w:color="auto" w:sz="6"/>
              <w:top w:val="single" w:color="auto" w:sz="6"/>
            </w:tcBorders>
          </w:tcPr>
          <w:p/>
        </w:tc>
        <w:tc>
          <w:tcPr>
            <w:tcW w:type="dxa" w:w="2976"/>
            <w:vAlign w:val="center"/>
            <w:vMerge/>
            <w:tcBorders>
              <w:bottom w:val="single" w:color="auto" w:sz="6"/>
              <w:left w:val="single" w:color="auto" w:sz="6"/>
              <w:right w:val="single" w:color="auto" w:sz="6"/>
              <w:top w:val="single" w:color="auto" w:sz="6"/>
            </w:tcBorders>
          </w:tcPr>
          <w:p/>
        </w:tc>
        <w:tc>
          <w:tcPr>
            <w:tcW w:type="dxa" w:w="2976"/>
            <w:vAlign w:val="center"/>
            <w:vMerge/>
            <w:tcBorders>
              <w:bottom w:val="single" w:color="auto" w:sz="6"/>
              <w:left w:val="single" w:color="auto" w:sz="6"/>
              <w:right w:val="single" w:color="auto" w:sz="6"/>
              <w:top w:val="single" w:color="auto" w:sz="6"/>
            </w:tcBorders>
          </w:tcPr>
          <w:p/>
        </w:tc>
        <w:tc>
          <w:tcPr>
            <w:tcW w:type="dxa" w:w="141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业务培训覆</w:t>
            </w:r>
            <w:r>
              <w:rPr>
                <w:rStyle w:val="PO1"/>
                <w:spacing w:val="0"/>
                <w:color w:val="auto"/>
                <w:position w:val="0"/>
                <w:sz w:val="21"/>
                <w:szCs w:val="21"/>
                <w:rFonts w:ascii="方正书宋_GBK" w:eastAsia="方正书宋_GBK" w:hAnsi="方正书宋_GBK" w:hint="default"/>
              </w:rPr>
              <w:t>盖率</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≥98</w:t>
            </w:r>
            <w:r>
              <w:rPr>
                <w:rStyle w:val="PO1"/>
                <w:spacing w:val="0"/>
                <w:color w:val="auto"/>
                <w:position w:val="0"/>
                <w:sz w:val="21"/>
                <w:szCs w:val="21"/>
                <w:rFonts w:ascii="方正书宋_GBK" w:eastAsia="方正书宋_GBK" w:hAnsi="方正书宋_GBK" w:hint="default"/>
              </w:rPr>
              <w:t>%</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≥95</w:t>
            </w:r>
            <w:r>
              <w:rPr>
                <w:rStyle w:val="PO1"/>
                <w:spacing w:val="0"/>
                <w:color w:val="auto"/>
                <w:position w:val="0"/>
                <w:sz w:val="21"/>
                <w:szCs w:val="21"/>
                <w:rFonts w:ascii="方正书宋_GBK" w:eastAsia="方正书宋_GBK" w:hAnsi="方正书宋_GBK" w:hint="default"/>
              </w:rPr>
              <w:t>%</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≥92</w:t>
            </w:r>
            <w:r>
              <w:rPr>
                <w:rStyle w:val="PO1"/>
                <w:spacing w:val="0"/>
                <w:color w:val="auto"/>
                <w:position w:val="0"/>
                <w:sz w:val="21"/>
                <w:szCs w:val="21"/>
                <w:rFonts w:ascii="方正书宋_GBK" w:eastAsia="方正书宋_GBK" w:hAnsi="方正书宋_GBK" w:hint="default"/>
              </w:rPr>
              <w:t>%</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&lt;92%</w:t>
            </w:r>
          </w:p>
        </w:tc>
      </w:tr>
      <w:tr>
        <w:trPr>
          <w:trHeight w:hRule="atleast" w:val="227"/>
          <w:cantSplit/>
          <w:hidden w:val="0"/>
        </w:trPr>
        <w:tc>
          <w:tcPr>
            <w:tcW w:type="dxa" w:w="2341"/>
            <w:vAlign w:val="center"/>
            <w:vMerge/>
            <w:tcBorders>
              <w:bottom w:val="single" w:color="auto" w:sz="6"/>
              <w:left w:val="single" w:color="auto" w:sz="6"/>
              <w:right w:val="single" w:color="auto" w:sz="6"/>
              <w:top w:val="single" w:color="auto" w:sz="6"/>
            </w:tcBorders>
          </w:tcPr>
          <w:p/>
        </w:tc>
        <w:tc>
          <w:tcPr>
            <w:tcW w:type="dxa" w:w="1276"/>
            <w:vAlign w:val="center"/>
            <w:vMerge/>
            <w:tcBorders>
              <w:bottom w:val="single" w:color="auto" w:sz="6"/>
              <w:left w:val="single" w:color="auto" w:sz="6"/>
              <w:right w:val="single" w:color="auto" w:sz="6"/>
              <w:top w:val="single" w:color="auto" w:sz="6"/>
            </w:tcBorders>
          </w:tcPr>
          <w:p/>
        </w:tc>
        <w:tc>
          <w:tcPr>
            <w:tcW w:type="dxa" w:w="2976"/>
            <w:vAlign w:val="center"/>
            <w:vMerge/>
            <w:tcBorders>
              <w:bottom w:val="single" w:color="auto" w:sz="6"/>
              <w:left w:val="single" w:color="auto" w:sz="6"/>
              <w:right w:val="single" w:color="auto" w:sz="6"/>
              <w:top w:val="single" w:color="auto" w:sz="6"/>
            </w:tcBorders>
          </w:tcPr>
          <w:p/>
        </w:tc>
        <w:tc>
          <w:tcPr>
            <w:tcW w:type="dxa" w:w="2976"/>
            <w:vAlign w:val="center"/>
            <w:vMerge/>
            <w:tcBorders>
              <w:bottom w:val="single" w:color="auto" w:sz="6"/>
              <w:left w:val="single" w:color="auto" w:sz="6"/>
              <w:right w:val="single" w:color="auto" w:sz="6"/>
              <w:top w:val="single" w:color="auto" w:sz="6"/>
            </w:tcBorders>
          </w:tcPr>
          <w:p/>
        </w:tc>
        <w:tc>
          <w:tcPr>
            <w:tcW w:type="dxa" w:w="141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统计信息采</w:t>
            </w:r>
            <w:r>
              <w:rPr>
                <w:rStyle w:val="PO1"/>
                <w:spacing w:val="0"/>
                <w:color w:val="auto"/>
                <w:position w:val="0"/>
                <w:sz w:val="21"/>
                <w:szCs w:val="21"/>
                <w:rFonts w:ascii="方正书宋_GBK" w:eastAsia="方正书宋_GBK" w:hAnsi="方正书宋_GBK" w:hint="default"/>
              </w:rPr>
              <w:t>用量(篇)</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≥6</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≥5</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≥3</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&lt;3</w:t>
            </w:r>
          </w:p>
        </w:tc>
      </w:tr>
      <w:tr>
        <w:trPr>
          <w:trHeight w:hRule="atleast" w:val="227"/>
          <w:cantSplit/>
          <w:hidden w:val="0"/>
        </w:trPr>
        <w:tc>
          <w:tcPr>
            <w:tcW w:type="dxa" w:w="2341"/>
            <w:tcMar>
              <w:left w:w="108" w:type="dxa"/>
              <w:right w:w="108" w:type="dxa"/>
            </w:tcMar>
            <w:vAlign w:val="center"/>
            <w:vMerge w:val="restart"/>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b w:val="1"/>
                <w:color w:val="auto"/>
                <w:position w:val="0"/>
                <w:sz w:val="21"/>
                <w:szCs w:val="21"/>
                <w:rFonts w:ascii="方正书宋_GBK" w:eastAsia="方正书宋_GBK" w:hAnsi="方正书宋_GBK" w:hint="default"/>
              </w:rPr>
              <w:wordWrap w:val="off"/>
              <w:snapToGrid w:val="on"/>
              <w:autoSpaceDE w:val="1"/>
              <w:autoSpaceDN w:val="1"/>
            </w:pPr>
            <w:r>
              <w:rPr>
                <w:rStyle w:val="PO1"/>
                <w:spacing w:val="0"/>
                <w:b w:val="1"/>
                <w:color w:val="auto"/>
                <w:position w:val="0"/>
                <w:sz w:val="21"/>
                <w:szCs w:val="21"/>
                <w:rFonts w:ascii="方正书宋_GBK" w:eastAsia="方正书宋_GBK" w:hAnsi="方正书宋_GBK" w:hint="default"/>
              </w:rPr>
              <w:t>　　3、统计数据采集</w:t>
            </w:r>
            <w:r>
              <w:rPr>
                <w:rStyle w:val="PO1"/>
                <w:spacing w:val="0"/>
                <w:b w:val="1"/>
                <w:color w:val="auto"/>
                <w:position w:val="0"/>
                <w:sz w:val="21"/>
                <w:szCs w:val="21"/>
                <w:rFonts w:ascii="方正书宋_GBK" w:eastAsia="方正书宋_GBK" w:hAnsi="方正书宋_GBK" w:hint="default"/>
              </w:rPr>
              <w:t>决策咨询</w:t>
            </w:r>
          </w:p>
        </w:tc>
        <w:tc>
          <w:tcPr>
            <w:tcW w:type="dxa" w:w="1276"/>
            <w:tcMar>
              <w:left w:w="108" w:type="dxa"/>
              <w:right w:w="108" w:type="dxa"/>
            </w:tcMar>
            <w:vAlign w:val="center"/>
            <w:vMerge w:val="restart"/>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p>
        </w:tc>
        <w:tc>
          <w:tcPr>
            <w:tcW w:type="dxa" w:w="2976"/>
            <w:tcMar>
              <w:left w:w="108" w:type="dxa"/>
              <w:right w:w="108" w:type="dxa"/>
            </w:tcMar>
            <w:vAlign w:val="center"/>
            <w:vMerge w:val="restart"/>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管理全县统计数据库网络；落</w:t>
            </w:r>
            <w:r>
              <w:rPr>
                <w:rStyle w:val="PO1"/>
                <w:spacing w:val="0"/>
                <w:color w:val="auto"/>
                <w:position w:val="0"/>
                <w:sz w:val="21"/>
                <w:szCs w:val="21"/>
                <w:rFonts w:ascii="方正书宋_GBK" w:eastAsia="方正书宋_GBK" w:hAnsi="方正书宋_GBK" w:hint="default"/>
              </w:rPr>
              <w:t>实全县统计信息化系统建设。</w:t>
            </w:r>
            <w:r>
              <w:rPr>
                <w:rStyle w:val="PO1"/>
                <w:spacing w:val="0"/>
                <w:color w:val="auto"/>
                <w:position w:val="0"/>
                <w:sz w:val="21"/>
                <w:szCs w:val="21"/>
                <w:rFonts w:ascii="方正书宋_GBK" w:eastAsia="方正书宋_GBK" w:hAnsi="方正书宋_GBK" w:hint="default"/>
              </w:rPr>
              <w:t>组织全县统计系统各级各专业</w:t>
            </w:r>
            <w:r>
              <w:rPr>
                <w:rStyle w:val="PO1"/>
                <w:spacing w:val="0"/>
                <w:color w:val="auto"/>
                <w:position w:val="0"/>
                <w:sz w:val="21"/>
                <w:szCs w:val="21"/>
                <w:rFonts w:ascii="方正书宋_GBK" w:eastAsia="方正书宋_GBK" w:hAnsi="方正书宋_GBK" w:hint="default"/>
              </w:rPr>
              <w:t>实施以企业一套表制度为核心</w:t>
            </w:r>
            <w:r>
              <w:rPr>
                <w:rStyle w:val="PO1"/>
                <w:spacing w:val="0"/>
                <w:color w:val="auto"/>
                <w:position w:val="0"/>
                <w:sz w:val="21"/>
                <w:szCs w:val="21"/>
                <w:rFonts w:ascii="方正书宋_GBK" w:eastAsia="方正书宋_GBK" w:hAnsi="方正书宋_GBK" w:hint="default"/>
              </w:rPr>
              <w:t>的统计四大工程：建立并管理</w:t>
            </w:r>
            <w:r>
              <w:rPr>
                <w:rStyle w:val="PO1"/>
                <w:spacing w:val="0"/>
                <w:color w:val="auto"/>
                <w:position w:val="0"/>
                <w:sz w:val="21"/>
                <w:szCs w:val="21"/>
                <w:rFonts w:ascii="方正书宋_GBK" w:eastAsia="方正书宋_GBK" w:hAnsi="方正书宋_GBK" w:hint="default"/>
              </w:rPr>
              <w:t>全县统计信息自动化系统和统</w:t>
            </w:r>
            <w:r>
              <w:rPr>
                <w:rStyle w:val="PO1"/>
                <w:spacing w:val="0"/>
                <w:color w:val="auto"/>
                <w:position w:val="0"/>
                <w:sz w:val="21"/>
                <w:szCs w:val="21"/>
                <w:rFonts w:ascii="方正书宋_GBK" w:eastAsia="方正书宋_GBK" w:hAnsi="方正书宋_GBK" w:hint="default"/>
              </w:rPr>
              <w:t>计数据库系统。</w:t>
            </w:r>
          </w:p>
        </w:tc>
        <w:tc>
          <w:tcPr>
            <w:tcW w:type="dxa" w:w="2976"/>
            <w:tcMar>
              <w:left w:w="108" w:type="dxa"/>
              <w:right w:w="108" w:type="dxa"/>
            </w:tcMar>
            <w:vAlign w:val="center"/>
            <w:vMerge w:val="restart"/>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保障全县统计信息自动化系统</w:t>
            </w:r>
            <w:r>
              <w:rPr>
                <w:rStyle w:val="PO1"/>
                <w:spacing w:val="0"/>
                <w:color w:val="auto"/>
                <w:position w:val="0"/>
                <w:sz w:val="21"/>
                <w:szCs w:val="21"/>
                <w:rFonts w:ascii="方正书宋_GBK" w:eastAsia="方正书宋_GBK" w:hAnsi="方正书宋_GBK" w:hint="default"/>
              </w:rPr>
              <w:t>和统计数据库系统运行安全平</w:t>
            </w:r>
            <w:r>
              <w:rPr>
                <w:rStyle w:val="PO1"/>
                <w:spacing w:val="0"/>
                <w:color w:val="auto"/>
                <w:position w:val="0"/>
                <w:sz w:val="21"/>
                <w:szCs w:val="21"/>
                <w:rFonts w:ascii="方正书宋_GBK" w:eastAsia="方正书宋_GBK" w:hAnsi="方正书宋_GBK" w:hint="default"/>
              </w:rPr>
              <w:t>稳。保证统计数据的顺利报送</w:t>
            </w:r>
            <w:r>
              <w:rPr>
                <w:rStyle w:val="PO1"/>
                <w:spacing w:val="0"/>
                <w:color w:val="auto"/>
                <w:position w:val="0"/>
                <w:sz w:val="21"/>
                <w:szCs w:val="21"/>
                <w:rFonts w:ascii="方正书宋_GBK" w:eastAsia="方正书宋_GBK" w:hAnsi="方正书宋_GBK" w:hint="default"/>
              </w:rPr>
              <w:t>汇总。</w:t>
            </w:r>
          </w:p>
        </w:tc>
        <w:tc>
          <w:tcPr>
            <w:tcW w:type="dxa" w:w="141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统计信息化</w:t>
            </w:r>
            <w:r>
              <w:rPr>
                <w:rStyle w:val="PO1"/>
                <w:spacing w:val="0"/>
                <w:color w:val="auto"/>
                <w:position w:val="0"/>
                <w:sz w:val="21"/>
                <w:szCs w:val="21"/>
                <w:rFonts w:ascii="方正书宋_GBK" w:eastAsia="方正书宋_GBK" w:hAnsi="方正书宋_GBK" w:hint="default"/>
              </w:rPr>
              <w:t>系统正常运</w:t>
            </w:r>
            <w:r>
              <w:rPr>
                <w:rStyle w:val="PO1"/>
                <w:spacing w:val="0"/>
                <w:color w:val="auto"/>
                <w:position w:val="0"/>
                <w:sz w:val="21"/>
                <w:szCs w:val="21"/>
                <w:rFonts w:ascii="方正书宋_GBK" w:eastAsia="方正书宋_GBK" w:hAnsi="方正书宋_GBK" w:hint="default"/>
              </w:rPr>
              <w:t>转率</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≥98</w:t>
            </w:r>
            <w:r>
              <w:rPr>
                <w:rStyle w:val="PO1"/>
                <w:spacing w:val="0"/>
                <w:color w:val="auto"/>
                <w:position w:val="0"/>
                <w:sz w:val="21"/>
                <w:szCs w:val="21"/>
                <w:rFonts w:ascii="方正书宋_GBK" w:eastAsia="方正书宋_GBK" w:hAnsi="方正书宋_GBK" w:hint="default"/>
              </w:rPr>
              <w:t>%</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≥95</w:t>
            </w:r>
            <w:r>
              <w:rPr>
                <w:rStyle w:val="PO1"/>
                <w:spacing w:val="0"/>
                <w:color w:val="auto"/>
                <w:position w:val="0"/>
                <w:sz w:val="21"/>
                <w:szCs w:val="21"/>
                <w:rFonts w:ascii="方正书宋_GBK" w:eastAsia="方正书宋_GBK" w:hAnsi="方正书宋_GBK" w:hint="default"/>
              </w:rPr>
              <w:t>%</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≥92</w:t>
            </w:r>
            <w:r>
              <w:rPr>
                <w:rStyle w:val="PO1"/>
                <w:spacing w:val="0"/>
                <w:color w:val="auto"/>
                <w:position w:val="0"/>
                <w:sz w:val="21"/>
                <w:szCs w:val="21"/>
                <w:rFonts w:ascii="方正书宋_GBK" w:eastAsia="方正书宋_GBK" w:hAnsi="方正书宋_GBK" w:hint="default"/>
              </w:rPr>
              <w:t>%</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&lt;92%</w:t>
            </w:r>
          </w:p>
        </w:tc>
      </w:tr>
      <w:tr>
        <w:trPr>
          <w:trHeight w:hRule="atleast" w:val="227"/>
          <w:cantSplit/>
          <w:hidden w:val="0"/>
        </w:trPr>
        <w:tc>
          <w:tcPr>
            <w:tcW w:type="dxa" w:w="2341"/>
            <w:vAlign w:val="center"/>
            <w:vMerge/>
            <w:tcBorders>
              <w:bottom w:val="single" w:color="auto" w:sz="6"/>
              <w:left w:val="single" w:color="auto" w:sz="6"/>
              <w:right w:val="single" w:color="auto" w:sz="6"/>
              <w:top w:val="single" w:color="auto" w:sz="6"/>
            </w:tcBorders>
          </w:tcPr>
          <w:p/>
        </w:tc>
        <w:tc>
          <w:tcPr>
            <w:tcW w:type="dxa" w:w="1276"/>
            <w:vAlign w:val="center"/>
            <w:vMerge/>
            <w:tcBorders>
              <w:bottom w:val="single" w:color="auto" w:sz="6"/>
              <w:left w:val="single" w:color="auto" w:sz="6"/>
              <w:right w:val="single" w:color="auto" w:sz="6"/>
              <w:top w:val="single" w:color="auto" w:sz="6"/>
            </w:tcBorders>
          </w:tcPr>
          <w:p/>
        </w:tc>
        <w:tc>
          <w:tcPr>
            <w:tcW w:type="dxa" w:w="2976"/>
            <w:vAlign w:val="center"/>
            <w:vMerge/>
            <w:tcBorders>
              <w:bottom w:val="single" w:color="auto" w:sz="6"/>
              <w:left w:val="single" w:color="auto" w:sz="6"/>
              <w:right w:val="single" w:color="auto" w:sz="6"/>
              <w:top w:val="single" w:color="auto" w:sz="6"/>
            </w:tcBorders>
          </w:tcPr>
          <w:p/>
        </w:tc>
        <w:tc>
          <w:tcPr>
            <w:tcW w:type="dxa" w:w="2976"/>
            <w:vAlign w:val="center"/>
            <w:vMerge/>
            <w:tcBorders>
              <w:bottom w:val="single" w:color="auto" w:sz="6"/>
              <w:left w:val="single" w:color="auto" w:sz="6"/>
              <w:right w:val="single" w:color="auto" w:sz="6"/>
              <w:top w:val="single" w:color="auto" w:sz="6"/>
            </w:tcBorders>
          </w:tcPr>
          <w:p/>
        </w:tc>
        <w:tc>
          <w:tcPr>
            <w:tcW w:type="dxa" w:w="141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统计信息化</w:t>
            </w:r>
            <w:r>
              <w:rPr>
                <w:rStyle w:val="PO1"/>
                <w:spacing w:val="0"/>
                <w:color w:val="auto"/>
                <w:position w:val="0"/>
                <w:sz w:val="21"/>
                <w:szCs w:val="21"/>
                <w:rFonts w:ascii="方正书宋_GBK" w:eastAsia="方正书宋_GBK" w:hAnsi="方正书宋_GBK" w:hint="default"/>
              </w:rPr>
              <w:t>系统建设完</w:t>
            </w:r>
            <w:r>
              <w:rPr>
                <w:rStyle w:val="PO1"/>
                <w:spacing w:val="0"/>
                <w:color w:val="auto"/>
                <w:position w:val="0"/>
                <w:sz w:val="21"/>
                <w:szCs w:val="21"/>
                <w:rFonts w:ascii="方正书宋_GBK" w:eastAsia="方正书宋_GBK" w:hAnsi="方正书宋_GBK" w:hint="default"/>
              </w:rPr>
              <w:t>成率</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≥98</w:t>
            </w:r>
            <w:r>
              <w:rPr>
                <w:rStyle w:val="PO1"/>
                <w:spacing w:val="0"/>
                <w:color w:val="auto"/>
                <w:position w:val="0"/>
                <w:sz w:val="21"/>
                <w:szCs w:val="21"/>
                <w:rFonts w:ascii="方正书宋_GBK" w:eastAsia="方正书宋_GBK" w:hAnsi="方正书宋_GBK" w:hint="default"/>
              </w:rPr>
              <w:t>%</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≥95</w:t>
            </w:r>
            <w:r>
              <w:rPr>
                <w:rStyle w:val="PO1"/>
                <w:spacing w:val="0"/>
                <w:color w:val="auto"/>
                <w:position w:val="0"/>
                <w:sz w:val="21"/>
                <w:szCs w:val="21"/>
                <w:rFonts w:ascii="方正书宋_GBK" w:eastAsia="方正书宋_GBK" w:hAnsi="方正书宋_GBK" w:hint="default"/>
              </w:rPr>
              <w:t>%</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≥92</w:t>
            </w:r>
            <w:r>
              <w:rPr>
                <w:rStyle w:val="PO1"/>
                <w:spacing w:val="0"/>
                <w:color w:val="auto"/>
                <w:position w:val="0"/>
                <w:sz w:val="21"/>
                <w:szCs w:val="21"/>
                <w:rFonts w:ascii="方正书宋_GBK" w:eastAsia="方正书宋_GBK" w:hAnsi="方正书宋_GBK" w:hint="default"/>
              </w:rPr>
              <w:t>%</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&lt;92%</w:t>
            </w:r>
          </w:p>
        </w:tc>
      </w:tr>
      <w:tr>
        <w:trPr>
          <w:trHeight w:hRule="atleast" w:val="227"/>
          <w:hidden w:val="0"/>
        </w:trPr>
        <w:tc>
          <w:tcPr>
            <w:tcW w:type="dxa" w:w="2341"/>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b w:val="1"/>
                <w:color w:val="auto"/>
                <w:position w:val="0"/>
                <w:sz w:val="21"/>
                <w:szCs w:val="21"/>
                <w:rFonts w:ascii="方正书宋_GBK" w:eastAsia="方正书宋_GBK" w:hAnsi="方正书宋_GBK" w:hint="default"/>
              </w:rPr>
              <w:wordWrap w:val="off"/>
              <w:snapToGrid w:val="on"/>
              <w:autoSpaceDE w:val="1"/>
              <w:autoSpaceDN w:val="1"/>
            </w:pPr>
            <w:r>
              <w:rPr>
                <w:rStyle w:val="PO1"/>
                <w:spacing w:val="0"/>
                <w:b w:val="1"/>
                <w:color w:val="auto"/>
                <w:position w:val="0"/>
                <w:sz w:val="21"/>
                <w:szCs w:val="21"/>
                <w:rFonts w:ascii="方正书宋_GBK" w:eastAsia="方正书宋_GBK" w:hAnsi="方正书宋_GBK" w:hint="default"/>
              </w:rPr>
              <w:t>三、统计政务管理</w:t>
            </w:r>
          </w:p>
        </w:tc>
        <w:tc>
          <w:tcPr>
            <w:tcW w:type="dxa" w:w="1276"/>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p>
        </w:tc>
        <w:tc>
          <w:tcPr>
            <w:tcW w:type="dxa" w:w="2976"/>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保障机关日常运转，健全全县</w:t>
            </w:r>
            <w:r>
              <w:rPr>
                <w:rStyle w:val="PO1"/>
                <w:spacing w:val="0"/>
                <w:color w:val="auto"/>
                <w:position w:val="0"/>
                <w:sz w:val="21"/>
                <w:szCs w:val="21"/>
                <w:rFonts w:ascii="方正书宋_GBK" w:eastAsia="方正书宋_GBK" w:hAnsi="方正书宋_GBK" w:hint="default"/>
              </w:rPr>
              <w:t>统计法制建设，指导全县统计</w:t>
            </w:r>
            <w:r>
              <w:rPr>
                <w:rStyle w:val="PO1"/>
                <w:spacing w:val="0"/>
                <w:color w:val="auto"/>
                <w:position w:val="0"/>
                <w:sz w:val="21"/>
                <w:szCs w:val="21"/>
                <w:rFonts w:ascii="方正书宋_GBK" w:eastAsia="方正书宋_GBK" w:hAnsi="方正书宋_GBK" w:hint="default"/>
              </w:rPr>
              <w:t>专业技术队伍建设。</w:t>
            </w:r>
          </w:p>
        </w:tc>
        <w:tc>
          <w:tcPr>
            <w:tcW w:type="dxa" w:w="2976"/>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保障统计信息化建设、统计执</w:t>
            </w:r>
            <w:r>
              <w:rPr>
                <w:rStyle w:val="PO1"/>
                <w:spacing w:val="0"/>
                <w:color w:val="auto"/>
                <w:position w:val="0"/>
                <w:sz w:val="21"/>
                <w:szCs w:val="21"/>
                <w:rFonts w:ascii="方正书宋_GBK" w:eastAsia="方正书宋_GBK" w:hAnsi="方正书宋_GBK" w:hint="default"/>
              </w:rPr>
              <w:t>法等全县统计专业技术队伍建</w:t>
            </w:r>
            <w:r>
              <w:rPr>
                <w:rStyle w:val="PO1"/>
                <w:spacing w:val="0"/>
                <w:color w:val="auto"/>
                <w:position w:val="0"/>
                <w:sz w:val="21"/>
                <w:szCs w:val="21"/>
                <w:rFonts w:ascii="方正书宋_GBK" w:eastAsia="方正书宋_GBK" w:hAnsi="方正书宋_GBK" w:hint="default"/>
              </w:rPr>
              <w:t>设。</w:t>
            </w:r>
          </w:p>
        </w:tc>
        <w:tc>
          <w:tcPr>
            <w:tcW w:type="dxa" w:w="141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p>
        </w:tc>
      </w:tr>
      <w:tr>
        <w:trPr>
          <w:trHeight w:hRule="atleast" w:val="227"/>
          <w:hidden w:val="0"/>
        </w:trPr>
        <w:tc>
          <w:tcPr>
            <w:tcW w:type="dxa" w:w="2341"/>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b w:val="1"/>
                <w:color w:val="auto"/>
                <w:position w:val="0"/>
                <w:sz w:val="21"/>
                <w:szCs w:val="21"/>
                <w:rFonts w:ascii="方正书宋_GBK" w:eastAsia="方正书宋_GBK" w:hAnsi="方正书宋_GBK" w:hint="default"/>
              </w:rPr>
              <w:wordWrap w:val="off"/>
              <w:snapToGrid w:val="on"/>
              <w:autoSpaceDE w:val="1"/>
              <w:autoSpaceDN w:val="1"/>
            </w:pPr>
            <w:r>
              <w:rPr>
                <w:rStyle w:val="PO1"/>
                <w:spacing w:val="0"/>
                <w:b w:val="1"/>
                <w:color w:val="auto"/>
                <w:position w:val="0"/>
                <w:sz w:val="21"/>
                <w:szCs w:val="21"/>
                <w:rFonts w:ascii="方正书宋_GBK" w:eastAsia="方正书宋_GBK" w:hAnsi="方正书宋_GBK" w:hint="default"/>
              </w:rPr>
              <w:t>　　1、综合业务管理</w:t>
            </w:r>
          </w:p>
        </w:tc>
        <w:tc>
          <w:tcPr>
            <w:tcW w:type="dxa" w:w="1276"/>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p>
        </w:tc>
        <w:tc>
          <w:tcPr>
            <w:tcW w:type="dxa" w:w="2976"/>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健全全县统计法制建设，严格</w:t>
            </w:r>
            <w:r>
              <w:rPr>
                <w:rStyle w:val="PO1"/>
                <w:spacing w:val="0"/>
                <w:color w:val="auto"/>
                <w:position w:val="0"/>
                <w:sz w:val="21"/>
                <w:szCs w:val="21"/>
                <w:rFonts w:ascii="方正书宋_GBK" w:eastAsia="方正书宋_GBK" w:hAnsi="方正书宋_GBK" w:hint="default"/>
              </w:rPr>
              <w:t>查处统计违法现象，开展统计</w:t>
            </w:r>
            <w:r>
              <w:rPr>
                <w:rStyle w:val="PO1"/>
                <w:spacing w:val="0"/>
                <w:color w:val="auto"/>
                <w:position w:val="0"/>
                <w:sz w:val="21"/>
                <w:szCs w:val="21"/>
                <w:rFonts w:ascii="方正书宋_GBK" w:eastAsia="方正书宋_GBK" w:hAnsi="方正书宋_GBK" w:hint="default"/>
              </w:rPr>
              <w:t>基层基础建设，指导全县统计</w:t>
            </w:r>
            <w:r>
              <w:rPr>
                <w:rStyle w:val="PO1"/>
                <w:spacing w:val="0"/>
                <w:color w:val="auto"/>
                <w:position w:val="0"/>
                <w:sz w:val="21"/>
                <w:szCs w:val="21"/>
                <w:rFonts w:ascii="方正书宋_GBK" w:eastAsia="方正书宋_GBK" w:hAnsi="方正书宋_GBK" w:hint="default"/>
              </w:rPr>
              <w:t>专业技术队伍建设。</w:t>
            </w:r>
          </w:p>
        </w:tc>
        <w:tc>
          <w:tcPr>
            <w:tcW w:type="dxa" w:w="2976"/>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开展统计执法检查和培训工作</w:t>
            </w:r>
            <w:r>
              <w:rPr>
                <w:rStyle w:val="PO1"/>
                <w:spacing w:val="0"/>
                <w:color w:val="auto"/>
                <w:position w:val="0"/>
                <w:sz w:val="21"/>
                <w:szCs w:val="21"/>
                <w:rFonts w:ascii="方正书宋_GBK" w:eastAsia="方正书宋_GBK" w:hAnsi="方正书宋_GBK" w:hint="default"/>
              </w:rPr>
              <w:t>，防范统计违法现象的发生；</w:t>
            </w:r>
            <w:r>
              <w:rPr>
                <w:rStyle w:val="PO1"/>
                <w:spacing w:val="0"/>
                <w:color w:val="auto"/>
                <w:position w:val="0"/>
                <w:sz w:val="21"/>
                <w:szCs w:val="21"/>
                <w:rFonts w:ascii="方正书宋_GBK" w:eastAsia="方正书宋_GBK" w:hAnsi="方正书宋_GBK" w:hint="default"/>
              </w:rPr>
              <w:t>拟定全县统计教育培训制度、</w:t>
            </w:r>
            <w:r>
              <w:rPr>
                <w:rStyle w:val="PO1"/>
                <w:spacing w:val="0"/>
                <w:color w:val="auto"/>
                <w:position w:val="0"/>
                <w:sz w:val="21"/>
                <w:szCs w:val="21"/>
                <w:rFonts w:ascii="方正书宋_GBK" w:eastAsia="方正书宋_GBK" w:hAnsi="方正书宋_GBK" w:hint="default"/>
              </w:rPr>
              <w:t>规划等。</w:t>
            </w:r>
          </w:p>
        </w:tc>
        <w:tc>
          <w:tcPr>
            <w:tcW w:type="dxa" w:w="141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培训工作完</w:t>
            </w:r>
            <w:r>
              <w:rPr>
                <w:rStyle w:val="PO1"/>
                <w:spacing w:val="0"/>
                <w:color w:val="auto"/>
                <w:position w:val="0"/>
                <w:sz w:val="21"/>
                <w:szCs w:val="21"/>
                <w:rFonts w:ascii="方正书宋_GBK" w:eastAsia="方正书宋_GBK" w:hAnsi="方正书宋_GBK" w:hint="default"/>
              </w:rPr>
              <w:t>成率</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100%</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≥95</w:t>
            </w:r>
            <w:r>
              <w:rPr>
                <w:rStyle w:val="PO1"/>
                <w:spacing w:val="0"/>
                <w:color w:val="auto"/>
                <w:position w:val="0"/>
                <w:sz w:val="21"/>
                <w:szCs w:val="21"/>
                <w:rFonts w:ascii="方正书宋_GBK" w:eastAsia="方正书宋_GBK" w:hAnsi="方正书宋_GBK" w:hint="default"/>
              </w:rPr>
              <w:t>%</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≥90</w:t>
            </w:r>
            <w:r>
              <w:rPr>
                <w:rStyle w:val="PO1"/>
                <w:spacing w:val="0"/>
                <w:color w:val="auto"/>
                <w:position w:val="0"/>
                <w:sz w:val="21"/>
                <w:szCs w:val="21"/>
                <w:rFonts w:ascii="方正书宋_GBK" w:eastAsia="方正书宋_GBK" w:hAnsi="方正书宋_GBK" w:hint="default"/>
              </w:rPr>
              <w:t>%</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&lt;90%</w:t>
            </w:r>
          </w:p>
        </w:tc>
      </w:tr>
      <w:tr>
        <w:trPr>
          <w:trHeight w:hRule="atleast" w:val="227"/>
          <w:hidden w:val="0"/>
        </w:trPr>
        <w:tc>
          <w:tcPr>
            <w:tcW w:type="dxa" w:w="2341"/>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b w:val="1"/>
                <w:color w:val="auto"/>
                <w:position w:val="0"/>
                <w:sz w:val="21"/>
                <w:szCs w:val="21"/>
                <w:rFonts w:ascii="方正书宋_GBK" w:eastAsia="方正书宋_GBK" w:hAnsi="方正书宋_GBK" w:hint="default"/>
              </w:rPr>
              <w:wordWrap w:val="off"/>
              <w:snapToGrid w:val="on"/>
              <w:autoSpaceDE w:val="1"/>
              <w:autoSpaceDN w:val="1"/>
            </w:pPr>
            <w:r>
              <w:rPr>
                <w:rStyle w:val="PO1"/>
                <w:spacing w:val="0"/>
                <w:b w:val="1"/>
                <w:color w:val="auto"/>
                <w:position w:val="0"/>
                <w:sz w:val="21"/>
                <w:szCs w:val="21"/>
                <w:rFonts w:ascii="方正书宋_GBK" w:eastAsia="方正书宋_GBK" w:hAnsi="方正书宋_GBK" w:hint="default"/>
              </w:rPr>
              <w:t>　　2、综合事务管理</w:t>
            </w:r>
          </w:p>
        </w:tc>
        <w:tc>
          <w:tcPr>
            <w:tcW w:type="dxa" w:w="1276"/>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p>
        </w:tc>
        <w:tc>
          <w:tcPr>
            <w:tcW w:type="dxa" w:w="2976"/>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保障机关日常运转，开展纪检</w:t>
            </w:r>
            <w:r>
              <w:rPr>
                <w:rStyle w:val="PO1"/>
                <w:spacing w:val="0"/>
                <w:color w:val="auto"/>
                <w:position w:val="0"/>
                <w:sz w:val="21"/>
                <w:szCs w:val="21"/>
                <w:rFonts w:ascii="方正书宋_GBK" w:eastAsia="方正书宋_GBK" w:hAnsi="方正书宋_GBK" w:hint="default"/>
              </w:rPr>
              <w:t>监察、计财内审、人事管理、</w:t>
            </w:r>
            <w:r>
              <w:rPr>
                <w:rStyle w:val="PO1"/>
                <w:spacing w:val="0"/>
                <w:color w:val="auto"/>
                <w:position w:val="0"/>
                <w:sz w:val="21"/>
                <w:szCs w:val="21"/>
                <w:rFonts w:ascii="方正书宋_GBK" w:eastAsia="方正书宋_GBK" w:hAnsi="方正书宋_GBK" w:hint="default"/>
              </w:rPr>
              <w:t>老干部管理、党建、后勤、行</w:t>
            </w:r>
            <w:r>
              <w:rPr>
                <w:rStyle w:val="PO1"/>
                <w:spacing w:val="0"/>
                <w:color w:val="auto"/>
                <w:position w:val="0"/>
                <w:sz w:val="21"/>
                <w:szCs w:val="21"/>
                <w:rFonts w:ascii="方正书宋_GBK" w:eastAsia="方正书宋_GBK" w:hAnsi="方正书宋_GBK" w:hint="default"/>
              </w:rPr>
              <w:t>政许可事务性管理等工作。</w:t>
            </w:r>
          </w:p>
        </w:tc>
        <w:tc>
          <w:tcPr>
            <w:tcW w:type="dxa" w:w="2976"/>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保障机关正常运转。</w:t>
            </w:r>
          </w:p>
        </w:tc>
        <w:tc>
          <w:tcPr>
            <w:tcW w:type="dxa" w:w="141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left"/>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综合事务保</w:t>
            </w:r>
            <w:r>
              <w:rPr>
                <w:rStyle w:val="PO1"/>
                <w:spacing w:val="0"/>
                <w:color w:val="auto"/>
                <w:position w:val="0"/>
                <w:sz w:val="21"/>
                <w:szCs w:val="21"/>
                <w:rFonts w:ascii="方正书宋_GBK" w:eastAsia="方正书宋_GBK" w:hAnsi="方正书宋_GBK" w:hint="default"/>
              </w:rPr>
              <w:t>障率</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100%</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≥95</w:t>
            </w:r>
            <w:r>
              <w:rPr>
                <w:rStyle w:val="PO1"/>
                <w:spacing w:val="0"/>
                <w:color w:val="auto"/>
                <w:position w:val="0"/>
                <w:sz w:val="21"/>
                <w:szCs w:val="21"/>
                <w:rFonts w:ascii="方正书宋_GBK" w:eastAsia="方正书宋_GBK" w:hAnsi="方正书宋_GBK" w:hint="default"/>
              </w:rPr>
              <w:t>%</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≥90</w:t>
            </w:r>
            <w:r>
              <w:rPr>
                <w:rStyle w:val="PO1"/>
                <w:spacing w:val="0"/>
                <w:color w:val="auto"/>
                <w:position w:val="0"/>
                <w:sz w:val="21"/>
                <w:szCs w:val="21"/>
                <w:rFonts w:ascii="方正书宋_GBK" w:eastAsia="方正书宋_GBK" w:hAnsi="方正书宋_GBK" w:hint="default"/>
              </w:rPr>
              <w:t>%</w:t>
            </w:r>
          </w:p>
        </w:tc>
        <w:tc>
          <w:tcPr>
            <w:tcW w:type="dxa" w:w="737"/>
            <w:tcMar>
              <w:left w:w="108" w:type="dxa"/>
              <w:right w:w="108" w:type="dxa"/>
            </w:tcMar>
            <w:vAlign w:val="center"/>
            <w:tcBorders>
              <w:bottom w:val="single" w:color="auto" w:sz="6"/>
              <w:left w:val="single" w:color="auto" w:sz="6"/>
              <w:right w:val="single" w:color="auto" w:sz="6"/>
              <w:top w:val="single" w:color="auto" w:sz="6"/>
            </w:tcBorders>
          </w:tcPr>
          <w:p>
            <w:pPr>
              <w:bidi w:val="0"/>
              <w:numPr>
                <w:ilvl w:val="0"/>
                <w:numId w:val="0"/>
              </w:numPr>
              <w:jc w:val="center"/>
              <w:spacing w:lineRule="exact" w:line="300" w:before="0" w:after="0"/>
              <w:pageBreakBefore w:val="0"/>
              <w:ind w:right="0" w:firstLine="0"/>
              <w:rPr>
                <w:rStyle w:val="PO1"/>
                <w:spacing w:val="0"/>
                <w:color w:val="auto"/>
                <w:position w:val="0"/>
                <w:sz w:val="21"/>
                <w:szCs w:val="21"/>
                <w:rFonts w:ascii="方正书宋_GBK" w:eastAsia="方正书宋_GBK" w:hAnsi="方正书宋_GBK" w:hint="default"/>
              </w:rPr>
              <w:wordWrap w:val="off"/>
              <w:snapToGrid w:val="on"/>
              <w:autoSpaceDE w:val="1"/>
              <w:autoSpaceDN w:val="1"/>
            </w:pPr>
            <w:r>
              <w:rPr>
                <w:rStyle w:val="PO1"/>
                <w:spacing w:val="0"/>
                <w:color w:val="auto"/>
                <w:position w:val="0"/>
                <w:sz w:val="21"/>
                <w:szCs w:val="21"/>
                <w:rFonts w:ascii="方正书宋_GBK" w:eastAsia="方正书宋_GBK" w:hAnsi="方正书宋_GBK" w:hint="default"/>
              </w:rPr>
              <w:t>&lt;90%</w:t>
            </w:r>
          </w:p>
        </w:tc>
      </w:tr>
    </w:tbl>
    <w:p>
      <w:pPr>
        <w:numPr>
          <w:ilvl w:val="0"/>
          <w:numId w:val="0"/>
        </w:numPr>
        <w:jc w:val="both"/>
        <w:spacing w:lineRule="atLeast" w:line="240" w:before="0" w:after="0"/>
        <w:ind w:right="0" w:firstLine="363"/>
        <w:rPr>
          <w:spacing w:val="0"/>
          <w:vertAlign w:val="baseline"/>
          <w:i w:val="0"/>
          <w:b w:val="1"/>
          <w:imprint w:val="0"/>
          <w:emboss w:val="0"/>
          <w:outline w:val="0"/>
          <w:shadow w:val="0"/>
          <w:color w:val="auto"/>
          <w:position w:val="0"/>
          <w:sz w:val="32"/>
          <w:szCs w:val="32"/>
          <w:u w:val="none"/>
          <w:smallCaps w:val="0"/>
          <w:rFonts w:ascii="??" w:eastAsia="Calibri" w:hAnsi="Calibri" w:hint="default"/>
        </w:rPr>
        <w:autoSpaceDE w:val="0"/>
        <w:autoSpaceDN w:val="0"/>
      </w:pPr>
      <w:r>
        <w:rPr>
          <w:spacing w:val="0"/>
          <w:vertAlign w:val="baseline"/>
          <w:i w:val="0"/>
          <w:b w:val="1"/>
          <w:imprint w:val="0"/>
          <w:emboss w:val="0"/>
          <w:outline w:val="0"/>
          <w:shadow w:val="0"/>
          <w:color w:val="auto"/>
          <w:position w:val="0"/>
          <w:sz w:val="32"/>
          <w:szCs w:val="32"/>
          <w:u w:val="none"/>
          <w:smallCaps w:val="0"/>
          <w:rFonts w:ascii="??" w:eastAsia="Calibri" w:hAnsi="Calibri" w:hint="default"/>
        </w:rPr>
        <w:t>六、政府采购预算情况</w:t>
      </w:r>
    </w:p>
    <w:p>
      <w:pPr>
        <w:numPr>
          <w:ilvl w:val="0"/>
          <w:numId w:val="0"/>
        </w:numPr>
        <w:jc w:val="both"/>
        <w:spacing w:lineRule="auto" w:line="240" w:before="0" w:after="0"/>
        <w:ind w:right="0" w:firstLine="640"/>
        <w:rPr>
          <w:color w:val="auto"/>
          <w:position w:val="0"/>
          <w:sz w:val="32"/>
          <w:szCs w:val="32"/>
          <w:rFonts w:ascii="Times New Roman" w:eastAsia="Times New Roman" w:hAnsi="Times New Roman" w:hint="default"/>
        </w:rPr>
        <w:outlineLvl w:val="0"/>
        <w:autoSpaceDE w:val="1"/>
        <w:autoSpaceDN w:val="1"/>
      </w:pPr>
      <w:bookmarkStart w:id="2" w:name="_Toc471398468"/>
      <w:r>
        <w:rPr>
          <w:color w:val="auto"/>
          <w:position w:val="0"/>
          <w:sz w:val="32"/>
          <w:szCs w:val="32"/>
          <w:rFonts w:ascii="Times New Roman" w:eastAsia="Times New Roman" w:hAnsi="Times New Roman" w:hint="default"/>
        </w:rPr>
        <w:t xml:space="preserve"> 2019</w:t>
      </w:r>
      <w:r>
        <w:rPr>
          <w:color w:val="auto"/>
          <w:position w:val="0"/>
          <w:sz w:val="32"/>
          <w:szCs w:val="32"/>
          <w:rFonts w:ascii="宋体" w:eastAsia="Calibri" w:hAnsi="Calibri" w:hint="default"/>
        </w:rPr>
        <w:t>年，</w:t>
      </w:r>
      <w:r>
        <w:rPr>
          <w:color w:val="auto"/>
          <w:position w:val="0"/>
          <w:sz w:val="32"/>
          <w:szCs w:val="32"/>
          <w:rFonts w:ascii="Times New Roman" w:eastAsia="Times New Roman" w:hAnsi="Times New Roman" w:hint="default"/>
        </w:rPr>
        <w:t>我部门</w:t>
      </w:r>
      <w:r>
        <w:rPr>
          <w:color w:val="auto"/>
          <w:position w:val="0"/>
          <w:sz w:val="32"/>
          <w:szCs w:val="32"/>
          <w:rFonts w:ascii="宋体" w:eastAsia="Calibri" w:hAnsi="Calibri" w:hint="default"/>
        </w:rPr>
        <w:t>安排政府采购预算</w:t>
      </w:r>
      <w:r>
        <w:rPr>
          <w:color w:val="auto"/>
          <w:position w:val="0"/>
          <w:sz w:val="32"/>
          <w:szCs w:val="32"/>
          <w:rFonts w:ascii="Times New Roman" w:eastAsia="??" w:hAnsi="??" w:hint="default"/>
        </w:rPr>
        <w:t>0</w:t>
      </w:r>
      <w:r>
        <w:rPr>
          <w:color w:val="auto"/>
          <w:position w:val="0"/>
          <w:sz w:val="32"/>
          <w:szCs w:val="32"/>
          <w:rFonts w:ascii="宋体" w:eastAsia="Calibri" w:hAnsi="Calibri" w:hint="default"/>
        </w:rPr>
        <w:t>万元。</w:t>
      </w:r>
      <w:bookmarkEnd w:id="2"/>
    </w:p>
    <w:p>
      <w:pPr>
        <w:numPr>
          <w:ilvl w:val="0"/>
          <w:numId w:val="0"/>
        </w:numPr>
        <w:jc w:val="both"/>
        <w:spacing w:lineRule="atLeast" w:line="240" w:before="0" w:after="0"/>
        <w:ind w:right="0" w:firstLine="363"/>
        <w:rPr>
          <w:spacing w:val="0"/>
          <w:vertAlign w:val="baseline"/>
          <w:i w:val="0"/>
          <w:b w:val="1"/>
          <w:imprint w:val="0"/>
          <w:emboss w:val="0"/>
          <w:outline w:val="0"/>
          <w:shadow w:val="0"/>
          <w:color w:val="auto"/>
          <w:position w:val="0"/>
          <w:sz w:val="32"/>
          <w:szCs w:val="32"/>
          <w:u w:val="none"/>
          <w:smallCaps w:val="0"/>
          <w:rFonts w:ascii="??" w:eastAsia="Calibri" w:hAnsi="Calibri" w:hint="default"/>
        </w:rPr>
        <w:autoSpaceDE w:val="0"/>
        <w:autoSpaceDN w:val="0"/>
      </w:pPr>
      <w:r>
        <w:rPr>
          <w:spacing w:val="0"/>
          <w:vertAlign w:val="baseline"/>
          <w:i w:val="0"/>
          <w:b w:val="1"/>
          <w:imprint w:val="0"/>
          <w:emboss w:val="0"/>
          <w:outline w:val="0"/>
          <w:shadow w:val="0"/>
          <w:color w:val="auto"/>
          <w:position w:val="0"/>
          <w:sz w:val="32"/>
          <w:szCs w:val="32"/>
          <w:u w:val="none"/>
          <w:smallCaps w:val="0"/>
          <w:rFonts w:ascii="??" w:eastAsia="Calibri" w:hAnsi="Calibri" w:hint="default"/>
        </w:rPr>
        <w:t>七、国有资产信息</w:t>
      </w:r>
    </w:p>
    <w:p>
      <w:pPr>
        <w:numPr>
          <w:ilvl w:val="0"/>
          <w:numId w:val="0"/>
        </w:numPr>
        <w:jc w:val="left"/>
        <w:spacing w:lineRule="auto" w:line="240" w:before="0" w:after="0"/>
        <w:ind w:right="0" w:firstLine="640"/>
        <w:rPr>
          <w:color w:val="auto"/>
          <w:position w:val="0"/>
          <w:sz w:val="32"/>
          <w:szCs w:val="32"/>
          <w:rFonts w:ascii="??" w:eastAsia="Times New Roman" w:hAnsi="Times New Roman" w:hint="default"/>
        </w:rPr>
        <w:autoSpaceDE w:val="0"/>
        <w:autoSpaceDN w:val="0"/>
      </w:pPr>
      <w:r>
        <w:rPr>
          <w:color w:val="000000"/>
          <w:position w:val="0"/>
          <w:sz w:val="32"/>
          <w:szCs w:val="32"/>
          <w:rFonts w:ascii="宋体" w:eastAsia="Calibri" w:hAnsi="Calibri" w:hint="default"/>
        </w:rPr>
        <w:t>安平县统计局上年末固定资产金额为</w:t>
      </w:r>
      <w:r>
        <w:rPr>
          <w:color w:val="000000"/>
          <w:position w:val="0"/>
          <w:sz w:val="32"/>
          <w:szCs w:val="32"/>
          <w:rFonts w:ascii="宋体" w:eastAsia="宋体" w:hAnsi="宋体" w:hint="default"/>
        </w:rPr>
        <w:t>91.4932</w:t>
      </w:r>
      <w:r>
        <w:rPr>
          <w:color w:val="000000"/>
          <w:position w:val="0"/>
          <w:sz w:val="32"/>
          <w:szCs w:val="32"/>
          <w:rFonts w:ascii="宋体" w:eastAsia="Calibri" w:hAnsi="Calibri" w:hint="default"/>
        </w:rPr>
        <w:t>万元，本年度各单位（科室）拟购置固定资产总额</w:t>
      </w:r>
      <w:r>
        <w:rPr>
          <w:color w:val="000000"/>
          <w:position w:val="0"/>
          <w:sz w:val="32"/>
          <w:szCs w:val="32"/>
          <w:rFonts w:ascii="宋体" w:eastAsia="Calibri" w:hAnsi="Calibri" w:hint="default"/>
        </w:rPr>
        <w:t>为</w:t>
      </w:r>
      <w:r>
        <w:rPr>
          <w:color w:val="000000"/>
          <w:position w:val="0"/>
          <w:sz w:val="32"/>
          <w:szCs w:val="32"/>
          <w:rFonts w:ascii="宋体" w:eastAsia="宋体" w:hAnsi="宋体" w:hint="default"/>
        </w:rPr>
        <w:t>0</w:t>
      </w:r>
      <w:r>
        <w:rPr>
          <w:color w:val="000000"/>
          <w:position w:val="0"/>
          <w:sz w:val="32"/>
          <w:szCs w:val="32"/>
          <w:rFonts w:ascii="宋体" w:eastAsia="Calibri" w:hAnsi="Calibri" w:hint="default"/>
        </w:rPr>
        <w:t>万元。</w:t>
      </w:r>
    </w:p>
    <w:p>
      <w:pPr>
        <w:sectPr>
          <w:footnotePr>
            <w:numFmt w:val="decimal"/>
            <w:numRestart w:val="continuous"/>
            <w:numStart w:val="1"/>
            <w:pos w:val="pageBottom"/>
          </w:footnotePr>
          <w:pgSz w:w="16838" w:h="11906" w:orient="landscape"/>
          <w:pgMar w:top="1797" w:left="1440" w:bottom="1797" w:right="1440" w:header="851" w:footer="992" w:gutter="0"/>
          <w:pgNumType w:fmt="decimal"/>
          <w:docGrid w:type="lines" w:linePitch="312" w:charSpace="0"/>
        </w:sectPr>
        <w:numPr>
          <w:ilvl w:val="0"/>
          <w:numId w:val="0"/>
        </w:numPr>
        <w:jc w:val="left"/>
        <w:spacing w:lineRule="auto" w:line="240" w:before="0" w:after="0"/>
        <w:ind w:right="0" w:firstLine="640"/>
        <w:rPr>
          <w:color w:val="000000"/>
          <w:position w:val="0"/>
          <w:sz w:val="32"/>
          <w:szCs w:val="32"/>
          <w:rFonts w:ascii="宋体" w:eastAsia="宋体" w:hAnsi="宋体" w:hint="default"/>
        </w:rPr>
        <w:autoSpaceDE w:val="0"/>
        <w:autoSpaceDN w:val="0"/>
      </w:pPr>
    </w:p>
    <w:tbl>
      <w:tblID w:val="0"/>
      <w:tblPr>
        <w:tblCellMar>
          <w:left w:w="108" w:type="dxa"/>
          <w:top w:w="0" w:type="dxa"/>
          <w:right w:w="108" w:type="dxa"/>
          <w:bottom w:w="0" w:type="dxa"/>
        </w:tblCellMar>
        <w:tblW w:w="13620" w:type="dxa"/>
        <w:tblLook w:val="000000" w:firstRow="0" w:lastRow="0" w:firstColumn="0" w:lastColumn="0" w:noHBand="0" w:noVBand="0"/>
        <w:tblLayout w:type="fixed"/>
      </w:tblPr>
      <w:tblGrid>
        <w:gridCol w:w="5277"/>
        <w:gridCol w:w="3188"/>
        <w:gridCol w:w="5155"/>
      </w:tblGrid>
      <w:tr>
        <w:trPr>
          <w:trHeight w:hRule="atleast" w:val="699"/>
          <w:hidden w:val="0"/>
        </w:trPr>
        <w:tc>
          <w:tcPr>
            <w:tcW w:type="dxa" w:w="13620"/>
            <w:vAlign w:val="center"/>
            <w:gridSpan w:val="3"/>
            <w:tcBorders>
              <w:bottom w:val="nil" w:color="auto"/>
              <w:left w:val="nil" w:color="auto"/>
              <w:right w:val="nil" w:color="auto"/>
              <w:top w:val="nil" w:color="auto"/>
            </w:tcBorders>
          </w:tcPr>
          <w:p>
            <w:pPr>
              <w:numPr>
                <w:ilvl w:val="0"/>
                <w:numId w:val="0"/>
              </w:numPr>
              <w:jc w:val="both"/>
              <w:spacing w:lineRule="auto" w:line="240" w:before="0" w:after="0"/>
              <w:ind w:right="0" w:firstLine="4160"/>
              <w:rPr>
                <w:b w:val="1"/>
                <w:color w:val="000000"/>
                <w:position w:val="0"/>
                <w:sz w:val="32"/>
                <w:szCs w:val="32"/>
                <w:rFonts w:ascii="宋体" w:eastAsia="宋体" w:hAnsi="宋体" w:hint="default"/>
              </w:rPr>
              <w:autoSpaceDE w:val="1"/>
              <w:autoSpaceDN w:val="1"/>
            </w:pPr>
            <w:r>
              <w:rPr>
                <w:b w:val="1"/>
                <w:color w:val="000000"/>
                <w:position w:val="0"/>
                <w:sz w:val="32"/>
                <w:szCs w:val="32"/>
                <w:rFonts w:ascii="宋体" w:eastAsia="Calibri" w:hAnsi="Calibri" w:hint="default"/>
              </w:rPr>
              <w:t>安平县县直固定资产占用情况表</w:t>
            </w:r>
          </w:p>
        </w:tc>
      </w:tr>
      <w:tr>
        <w:trPr>
          <w:trHeight w:hRule="atleast" w:val="506"/>
          <w:hidden w:val="0"/>
        </w:trPr>
        <w:tc>
          <w:tcPr>
            <w:tcW w:type="dxa" w:w="8465"/>
            <w:vAlign w:val="center"/>
            <w:gridSpan w:val="2"/>
            <w:tcBorders>
              <w:bottom w:val="nil" w:color="auto"/>
              <w:left w:val="nil" w:color="auto"/>
              <w:right w:val="nil" w:color="auto"/>
              <w:top w:val="nil" w:color="auto"/>
            </w:tcBorders>
          </w:tcPr>
          <w:p>
            <w:pPr>
              <w:numPr>
                <w:ilvl w:val="0"/>
                <w:numId w:val="0"/>
              </w:numPr>
              <w:jc w:val="both"/>
              <w:spacing w:lineRule="auto" w:line="240" w:before="0" w:after="0"/>
              <w:ind w:right="0" w:firstLine="0"/>
              <w:rPr>
                <w:color w:val="000000"/>
                <w:position w:val="0"/>
                <w:sz w:val="32"/>
                <w:szCs w:val="32"/>
                <w:rFonts w:ascii="宋体" w:eastAsia="宋体" w:hAnsi="宋体" w:hint="default"/>
              </w:rPr>
              <w:autoSpaceDE w:val="1"/>
              <w:autoSpaceDN w:val="1"/>
            </w:pPr>
            <w:r>
              <w:rPr>
                <w:color w:val="000000"/>
                <w:position w:val="0"/>
                <w:sz w:val="32"/>
                <w:szCs w:val="32"/>
                <w:rFonts w:ascii="宋体" w:eastAsia="Calibri" w:hAnsi="Calibri" w:hint="default"/>
              </w:rPr>
              <w:t>编制部门：安平县统计局</w:t>
            </w:r>
          </w:p>
        </w:tc>
        <w:tc>
          <w:tcPr>
            <w:tcW w:type="dxa" w:w="5155"/>
            <w:vAlign w:val="center"/>
            <w:tcBorders>
              <w:bottom w:val="nil" w:color="auto"/>
              <w:left w:val="nil" w:color="auto"/>
              <w:right w:val="nil" w:color="auto"/>
              <w:top w:val="nil" w:color="auto"/>
            </w:tcBorders>
          </w:tcPr>
          <w:p>
            <w:pPr>
              <w:numPr>
                <w:ilvl w:val="0"/>
                <w:numId w:val="0"/>
              </w:numPr>
              <w:jc w:val="both"/>
              <w:spacing w:lineRule="auto" w:line="240" w:before="0" w:after="0"/>
              <w:ind w:right="0" w:firstLine="0"/>
              <w:rPr>
                <w:color w:val="000000"/>
                <w:position w:val="0"/>
                <w:sz w:val="32"/>
                <w:szCs w:val="32"/>
                <w:rFonts w:ascii="宋体" w:eastAsia="宋体" w:hAnsi="宋体" w:hint="default"/>
              </w:rPr>
              <w:autoSpaceDE w:val="1"/>
              <w:autoSpaceDN w:val="1"/>
            </w:pPr>
            <w:r>
              <w:rPr>
                <w:color w:val="000000"/>
                <w:position w:val="0"/>
                <w:sz w:val="32"/>
                <w:szCs w:val="32"/>
                <w:rFonts w:ascii="宋体" w:eastAsia="Calibri" w:hAnsi="Calibri" w:hint="default"/>
              </w:rPr>
              <w:t>截止时间：</w:t>
            </w:r>
            <w:r>
              <w:rPr>
                <w:color w:val="000000"/>
                <w:position w:val="0"/>
                <w:sz w:val="32"/>
                <w:szCs w:val="32"/>
                <w:rFonts w:ascii="宋体" w:eastAsia="宋体" w:hAnsi="宋体" w:hint="default"/>
              </w:rPr>
              <w:t>2018</w:t>
            </w:r>
            <w:r>
              <w:rPr>
                <w:color w:val="000000"/>
                <w:position w:val="0"/>
                <w:sz w:val="32"/>
                <w:szCs w:val="32"/>
                <w:rFonts w:ascii="宋体" w:eastAsia="Calibri" w:hAnsi="Calibri" w:hint="default"/>
              </w:rPr>
              <w:t>年</w:t>
            </w:r>
            <w:r>
              <w:rPr>
                <w:color w:val="000000"/>
                <w:position w:val="0"/>
                <w:sz w:val="32"/>
                <w:szCs w:val="32"/>
                <w:rFonts w:ascii="宋体" w:eastAsia="宋体" w:hAnsi="宋体" w:hint="default"/>
              </w:rPr>
              <w:t>12</w:t>
            </w:r>
            <w:r>
              <w:rPr>
                <w:color w:val="000000"/>
                <w:position w:val="0"/>
                <w:sz w:val="32"/>
                <w:szCs w:val="32"/>
                <w:rFonts w:ascii="宋体" w:eastAsia="Calibri" w:hAnsi="Calibri" w:hint="default"/>
              </w:rPr>
              <w:t>月</w:t>
            </w:r>
            <w:r>
              <w:rPr>
                <w:color w:val="000000"/>
                <w:position w:val="0"/>
                <w:sz w:val="32"/>
                <w:szCs w:val="32"/>
                <w:rFonts w:ascii="宋体" w:eastAsia="宋体" w:hAnsi="宋体" w:hint="default"/>
              </w:rPr>
              <w:t>31</w:t>
            </w:r>
            <w:r>
              <w:rPr>
                <w:color w:val="000000"/>
                <w:position w:val="0"/>
                <w:sz w:val="32"/>
                <w:szCs w:val="32"/>
                <w:rFonts w:ascii="宋体" w:eastAsia="Calibri" w:hAnsi="Calibri" w:hint="default"/>
              </w:rPr>
              <w:t>日</w:t>
            </w:r>
          </w:p>
        </w:tc>
      </w:tr>
      <w:tr>
        <w:trPr>
          <w:trHeight w:hRule="atleast" w:val="640"/>
          <w:hidden w:val="0"/>
        </w:trPr>
        <w:tc>
          <w:tcPr>
            <w:tcW w:type="dxa" w:w="5277"/>
            <w:vAlign w:val="center"/>
            <w:tcBorders>
              <w:bottom w:val="single" w:color="auto" w:sz="4"/>
              <w:left w:val="single" w:color="auto" w:sz="4"/>
              <w:right w:val="single" w:color="auto" w:sz="4"/>
              <w:top w:val="single" w:color="auto" w:sz="4"/>
            </w:tcBorders>
          </w:tcPr>
          <w:p>
            <w:pPr>
              <w:numPr>
                <w:ilvl w:val="0"/>
                <w:numId w:val="0"/>
              </w:numPr>
              <w:jc w:val="both"/>
              <w:spacing w:lineRule="auto" w:line="240" w:before="0" w:after="0"/>
              <w:ind w:right="0" w:firstLine="0"/>
              <w:rPr>
                <w:b w:val="1"/>
                <w:color w:val="000000"/>
                <w:position w:val="0"/>
                <w:sz w:val="32"/>
                <w:szCs w:val="32"/>
                <w:rFonts w:ascii="宋体" w:eastAsia="宋体" w:hAnsi="宋体" w:hint="default"/>
              </w:rPr>
              <w:autoSpaceDE w:val="1"/>
              <w:autoSpaceDN w:val="1"/>
            </w:pPr>
            <w:r>
              <w:rPr>
                <w:b w:val="1"/>
                <w:color w:val="000000"/>
                <w:position w:val="0"/>
                <w:sz w:val="32"/>
                <w:szCs w:val="32"/>
                <w:rFonts w:ascii="宋体" w:eastAsia="Calibri" w:hAnsi="Calibri" w:hint="default"/>
              </w:rPr>
              <w:t>项目</w:t>
            </w:r>
          </w:p>
        </w:tc>
        <w:tc>
          <w:tcPr>
            <w:tcW w:type="dxa" w:w="3188"/>
            <w:vAlign w:val="center"/>
            <w:tcBorders>
              <w:bottom w:val="single" w:color="auto" w:sz="4"/>
              <w:left w:val="nil" w:color="auto"/>
              <w:right w:val="single" w:color="auto" w:sz="4"/>
              <w:top w:val="single" w:color="auto" w:sz="4"/>
            </w:tcBorders>
          </w:tcPr>
          <w:p>
            <w:pPr>
              <w:numPr>
                <w:ilvl w:val="0"/>
                <w:numId w:val="0"/>
              </w:numPr>
              <w:jc w:val="both"/>
              <w:spacing w:lineRule="auto" w:line="240" w:before="0" w:after="0"/>
              <w:ind w:right="0" w:firstLine="0"/>
              <w:rPr>
                <w:b w:val="1"/>
                <w:color w:val="000000"/>
                <w:position w:val="0"/>
                <w:sz w:val="32"/>
                <w:szCs w:val="32"/>
                <w:rFonts w:ascii="宋体" w:eastAsia="宋体" w:hAnsi="宋体" w:hint="default"/>
              </w:rPr>
              <w:autoSpaceDE w:val="1"/>
              <w:autoSpaceDN w:val="1"/>
            </w:pPr>
            <w:r>
              <w:rPr>
                <w:b w:val="1"/>
                <w:color w:val="000000"/>
                <w:position w:val="0"/>
                <w:sz w:val="32"/>
                <w:szCs w:val="32"/>
                <w:rFonts w:ascii="宋体" w:eastAsia="Calibri" w:hAnsi="Calibri" w:hint="default"/>
              </w:rPr>
              <w:t>数量</w:t>
            </w:r>
          </w:p>
        </w:tc>
        <w:tc>
          <w:tcPr>
            <w:tcW w:type="dxa" w:w="5155"/>
            <w:vAlign w:val="center"/>
            <w:tcBorders>
              <w:bottom w:val="single" w:color="auto" w:sz="4"/>
              <w:left w:val="nil" w:color="auto"/>
              <w:right w:val="single" w:color="auto" w:sz="4"/>
              <w:top w:val="single" w:color="auto" w:sz="4"/>
            </w:tcBorders>
          </w:tcPr>
          <w:p>
            <w:pPr>
              <w:numPr>
                <w:ilvl w:val="0"/>
                <w:numId w:val="0"/>
              </w:numPr>
              <w:jc w:val="both"/>
              <w:spacing w:lineRule="auto" w:line="240" w:before="0" w:after="0"/>
              <w:ind w:right="0" w:firstLine="0"/>
              <w:rPr>
                <w:b w:val="1"/>
                <w:color w:val="000000"/>
                <w:position w:val="0"/>
                <w:sz w:val="32"/>
                <w:szCs w:val="32"/>
                <w:rFonts w:ascii="宋体" w:eastAsia="宋体" w:hAnsi="宋体" w:hint="default"/>
              </w:rPr>
              <w:autoSpaceDE w:val="1"/>
              <w:autoSpaceDN w:val="1"/>
            </w:pPr>
            <w:r>
              <w:rPr>
                <w:b w:val="1"/>
                <w:color w:val="000000"/>
                <w:position w:val="0"/>
                <w:sz w:val="32"/>
                <w:szCs w:val="32"/>
                <w:rFonts w:ascii="宋体" w:eastAsia="Calibri" w:hAnsi="Calibri" w:hint="default"/>
              </w:rPr>
              <w:t>价值（金额单位：万元）</w:t>
            </w:r>
          </w:p>
        </w:tc>
      </w:tr>
      <w:tr>
        <w:trPr>
          <w:trHeight w:hRule="atleast" w:val="640"/>
          <w:hidden w:val="0"/>
        </w:trPr>
        <w:tc>
          <w:tcPr>
            <w:tcW w:type="dxa" w:w="5277"/>
            <w:vAlign w:val="center"/>
            <w:tcBorders>
              <w:bottom w:val="single" w:color="auto" w:sz="4"/>
              <w:left w:val="single" w:color="auto" w:sz="4"/>
              <w:right w:val="single" w:color="auto" w:sz="4"/>
              <w:top w:val="nil" w:color="auto"/>
            </w:tcBorders>
          </w:tcPr>
          <w:p>
            <w:pPr>
              <w:numPr>
                <w:ilvl w:val="0"/>
                <w:numId w:val="0"/>
              </w:numPr>
              <w:jc w:val="both"/>
              <w:spacing w:lineRule="auto" w:line="240" w:before="0" w:after="0"/>
              <w:ind w:right="0" w:firstLine="0"/>
              <w:rPr>
                <w:color w:val="000000"/>
                <w:position w:val="0"/>
                <w:sz w:val="32"/>
                <w:szCs w:val="32"/>
                <w:rFonts w:ascii="宋体" w:eastAsia="宋体" w:hAnsi="宋体" w:hint="default"/>
              </w:rPr>
              <w:autoSpaceDE w:val="1"/>
              <w:autoSpaceDN w:val="1"/>
            </w:pPr>
            <w:r>
              <w:rPr>
                <w:color w:val="000000"/>
                <w:position w:val="0"/>
                <w:sz w:val="32"/>
                <w:szCs w:val="32"/>
                <w:rFonts w:ascii="宋体" w:eastAsia="Calibri" w:hAnsi="Calibri" w:hint="default"/>
              </w:rPr>
              <w:t>资产总额</w:t>
            </w:r>
          </w:p>
        </w:tc>
        <w:tc>
          <w:tcPr>
            <w:tcW w:type="dxa" w:w="3188"/>
            <w:vAlign w:val="center"/>
            <w:tcBorders>
              <w:bottom w:val="single" w:color="auto" w:sz="4"/>
              <w:left w:val="nil" w:color="auto"/>
              <w:right w:val="single" w:color="auto" w:sz="4"/>
              <w:top w:val="nil" w:color="auto"/>
            </w:tcBorders>
          </w:tcPr>
          <w:p>
            <w:pPr>
              <w:numPr>
                <w:ilvl w:val="0"/>
                <w:numId w:val="0"/>
              </w:numPr>
              <w:jc w:val="both"/>
              <w:spacing w:lineRule="auto" w:line="240" w:before="0" w:after="0"/>
              <w:ind w:right="0" w:firstLine="0"/>
              <w:rPr>
                <w:color w:val="000000"/>
                <w:position w:val="0"/>
                <w:sz w:val="32"/>
                <w:szCs w:val="32"/>
                <w:rFonts w:ascii="宋体" w:eastAsia="宋体" w:hAnsi="宋体" w:hint="default"/>
              </w:rPr>
              <w:autoSpaceDE w:val="1"/>
              <w:autoSpaceDN w:val="1"/>
            </w:pPr>
            <w:r>
              <w:rPr>
                <w:color w:val="000000"/>
                <w:position w:val="0"/>
                <w:sz w:val="32"/>
                <w:szCs w:val="32"/>
                <w:rFonts w:ascii="宋体" w:eastAsia="宋体" w:hAnsi="宋体" w:hint="default"/>
              </w:rPr>
              <w:t>——</w:t>
            </w:r>
          </w:p>
        </w:tc>
        <w:tc>
          <w:tcPr>
            <w:tcW w:type="dxa" w:w="5155"/>
            <w:vAlign w:val="center"/>
            <w:tcBorders>
              <w:bottom w:val="single" w:color="auto" w:sz="4"/>
              <w:left w:val="nil" w:color="auto"/>
              <w:right w:val="single" w:color="auto" w:sz="4"/>
              <w:top w:val="nil" w:color="auto"/>
            </w:tcBorders>
          </w:tcPr>
          <w:p>
            <w:pPr>
              <w:numPr>
                <w:ilvl w:val="0"/>
                <w:numId w:val="0"/>
              </w:numPr>
              <w:jc w:val="both"/>
              <w:spacing w:lineRule="auto" w:line="240" w:before="0" w:after="0"/>
              <w:ind w:right="0" w:firstLine="0"/>
              <w:rPr>
                <w:color w:val="000000"/>
                <w:position w:val="0"/>
                <w:sz w:val="32"/>
                <w:szCs w:val="32"/>
                <w:rFonts w:ascii="宋体" w:eastAsia="宋体" w:hAnsi="宋体" w:hint="default"/>
              </w:rPr>
              <w:autoSpaceDE w:val="1"/>
              <w:autoSpaceDN w:val="1"/>
            </w:pPr>
            <w:r>
              <w:rPr>
                <w:color w:val="000000"/>
                <w:position w:val="0"/>
                <w:sz w:val="32"/>
                <w:szCs w:val="32"/>
                <w:rFonts w:ascii="宋体" w:eastAsia="宋体" w:hAnsi="宋体" w:hint="default"/>
              </w:rPr>
              <w:t>91.4932</w:t>
            </w:r>
          </w:p>
        </w:tc>
      </w:tr>
      <w:tr>
        <w:trPr>
          <w:trHeight w:hRule="atleast" w:val="640"/>
          <w:hidden w:val="0"/>
        </w:trPr>
        <w:tc>
          <w:tcPr>
            <w:tcW w:type="dxa" w:w="5277"/>
            <w:vAlign w:val="center"/>
            <w:tcBorders>
              <w:bottom w:val="single" w:color="auto" w:sz="4"/>
              <w:left w:val="single" w:color="auto" w:sz="4"/>
              <w:right w:val="single" w:color="auto" w:sz="4"/>
              <w:top w:val="nil" w:color="auto"/>
            </w:tcBorders>
          </w:tcPr>
          <w:p>
            <w:pPr>
              <w:numPr>
                <w:ilvl w:val="0"/>
                <w:numId w:val="0"/>
              </w:numPr>
              <w:jc w:val="both"/>
              <w:spacing w:lineRule="auto" w:line="240" w:before="0" w:after="0"/>
              <w:ind w:right="0" w:firstLine="0"/>
              <w:rPr>
                <w:color w:val="000000"/>
                <w:position w:val="0"/>
                <w:sz w:val="32"/>
                <w:szCs w:val="32"/>
                <w:rFonts w:ascii="宋体" w:eastAsia="宋体" w:hAnsi="宋体" w:hint="default"/>
              </w:rPr>
              <w:autoSpaceDE w:val="1"/>
              <w:autoSpaceDN w:val="1"/>
            </w:pPr>
            <w:r>
              <w:rPr>
                <w:color w:val="000000"/>
                <w:position w:val="0"/>
                <w:sz w:val="32"/>
                <w:szCs w:val="32"/>
                <w:rFonts w:ascii="宋体" w:eastAsia="宋体" w:hAnsi="宋体" w:hint="default"/>
              </w:rPr>
              <w:t>1</w:t>
            </w:r>
            <w:r>
              <w:rPr>
                <w:color w:val="000000"/>
                <w:position w:val="0"/>
                <w:sz w:val="32"/>
                <w:szCs w:val="32"/>
                <w:rFonts w:ascii="宋体" w:eastAsia="Calibri" w:hAnsi="Calibri" w:hint="default"/>
              </w:rPr>
              <w:t>、房屋（平方米）</w:t>
            </w:r>
          </w:p>
        </w:tc>
        <w:tc>
          <w:tcPr>
            <w:tcW w:type="dxa" w:w="3188"/>
            <w:vAlign w:val="center"/>
            <w:tcBorders>
              <w:bottom w:val="single" w:color="auto" w:sz="4"/>
              <w:left w:val="nil" w:color="auto"/>
              <w:right w:val="single" w:color="auto" w:sz="4"/>
              <w:top w:val="nil" w:color="auto"/>
            </w:tcBorders>
          </w:tcPr>
          <w:p>
            <w:pPr>
              <w:numPr>
                <w:ilvl w:val="0"/>
                <w:numId w:val="0"/>
              </w:numPr>
              <w:jc w:val="both"/>
              <w:spacing w:lineRule="auto" w:line="240" w:before="0" w:after="0"/>
              <w:ind w:right="0" w:firstLine="0"/>
              <w:rPr>
                <w:color w:val="000000"/>
                <w:position w:val="0"/>
                <w:sz w:val="32"/>
                <w:szCs w:val="32"/>
                <w:rFonts w:ascii="宋体" w:eastAsia="宋体" w:hAnsi="宋体" w:hint="default"/>
              </w:rPr>
              <w:autoSpaceDE w:val="1"/>
              <w:autoSpaceDN w:val="1"/>
            </w:pPr>
          </w:p>
        </w:tc>
        <w:tc>
          <w:tcPr>
            <w:tcW w:type="dxa" w:w="5155"/>
            <w:vAlign w:val="center"/>
            <w:tcBorders>
              <w:bottom w:val="single" w:color="auto" w:sz="4"/>
              <w:left w:val="nil" w:color="auto"/>
              <w:right w:val="single" w:color="auto" w:sz="4"/>
              <w:top w:val="nil" w:color="auto"/>
            </w:tcBorders>
          </w:tcPr>
          <w:p>
            <w:pPr>
              <w:numPr>
                <w:ilvl w:val="0"/>
                <w:numId w:val="0"/>
              </w:numPr>
              <w:jc w:val="both"/>
              <w:spacing w:lineRule="auto" w:line="240" w:before="0" w:after="0"/>
              <w:ind w:right="0" w:firstLine="0"/>
              <w:rPr>
                <w:color w:val="000000"/>
                <w:position w:val="0"/>
                <w:sz w:val="32"/>
                <w:szCs w:val="32"/>
                <w:rFonts w:ascii="宋体" w:eastAsia="宋体" w:hAnsi="宋体" w:hint="default"/>
              </w:rPr>
              <w:autoSpaceDE w:val="1"/>
              <w:autoSpaceDN w:val="1"/>
            </w:pPr>
          </w:p>
        </w:tc>
      </w:tr>
      <w:tr>
        <w:trPr>
          <w:trHeight w:hRule="atleast" w:val="640"/>
          <w:hidden w:val="0"/>
        </w:trPr>
        <w:tc>
          <w:tcPr>
            <w:tcW w:type="dxa" w:w="5277"/>
            <w:vAlign w:val="center"/>
            <w:tcBorders>
              <w:bottom w:val="single" w:color="auto" w:sz="4"/>
              <w:left w:val="single" w:color="auto" w:sz="4"/>
              <w:right w:val="single" w:color="auto" w:sz="4"/>
              <w:top w:val="nil" w:color="auto"/>
            </w:tcBorders>
          </w:tcPr>
          <w:p>
            <w:pPr>
              <w:numPr>
                <w:ilvl w:val="0"/>
                <w:numId w:val="0"/>
              </w:numPr>
              <w:jc w:val="both"/>
              <w:spacing w:lineRule="auto" w:line="240" w:before="0" w:after="0"/>
              <w:ind w:right="0" w:firstLine="0"/>
              <w:rPr>
                <w:color w:val="000000"/>
                <w:position w:val="0"/>
                <w:sz w:val="32"/>
                <w:szCs w:val="32"/>
                <w:rFonts w:ascii="宋体" w:eastAsia="宋体" w:hAnsi="宋体" w:hint="default"/>
              </w:rPr>
              <w:autoSpaceDE w:val="1"/>
              <w:autoSpaceDN w:val="1"/>
            </w:pPr>
            <w:r>
              <w:rPr>
                <w:color w:val="000000"/>
                <w:position w:val="0"/>
                <w:sz w:val="32"/>
                <w:szCs w:val="32"/>
                <w:rFonts w:ascii="宋体" w:eastAsia="Calibri" w:hAnsi="Calibri" w:hint="default"/>
              </w:rPr>
              <w:t>其中：办公用房（平方米）</w:t>
            </w:r>
          </w:p>
        </w:tc>
        <w:tc>
          <w:tcPr>
            <w:tcW w:type="dxa" w:w="3188"/>
            <w:vAlign w:val="center"/>
            <w:tcBorders>
              <w:bottom w:val="single" w:color="auto" w:sz="4"/>
              <w:left w:val="nil" w:color="auto"/>
              <w:right w:val="single" w:color="auto" w:sz="4"/>
              <w:top w:val="nil" w:color="auto"/>
            </w:tcBorders>
          </w:tcPr>
          <w:p>
            <w:pPr>
              <w:numPr>
                <w:ilvl w:val="0"/>
                <w:numId w:val="0"/>
              </w:numPr>
              <w:jc w:val="both"/>
              <w:spacing w:lineRule="auto" w:line="240" w:before="0" w:after="0"/>
              <w:ind w:right="0" w:firstLine="0"/>
              <w:rPr>
                <w:color w:val="000000"/>
                <w:position w:val="0"/>
                <w:sz w:val="32"/>
                <w:szCs w:val="32"/>
                <w:rFonts w:ascii="宋体" w:eastAsia="宋体" w:hAnsi="宋体" w:hint="default"/>
              </w:rPr>
              <w:autoSpaceDE w:val="1"/>
              <w:autoSpaceDN w:val="1"/>
            </w:pPr>
          </w:p>
        </w:tc>
        <w:tc>
          <w:tcPr>
            <w:tcW w:type="dxa" w:w="5155"/>
            <w:vAlign w:val="center"/>
            <w:tcBorders>
              <w:bottom w:val="single" w:color="auto" w:sz="4"/>
              <w:left w:val="nil" w:color="auto"/>
              <w:right w:val="single" w:color="auto" w:sz="4"/>
              <w:top w:val="nil" w:color="auto"/>
            </w:tcBorders>
          </w:tcPr>
          <w:p>
            <w:pPr>
              <w:numPr>
                <w:ilvl w:val="0"/>
                <w:numId w:val="0"/>
              </w:numPr>
              <w:jc w:val="both"/>
              <w:spacing w:lineRule="auto" w:line="240" w:before="0" w:after="0"/>
              <w:ind w:right="0" w:firstLine="0"/>
              <w:rPr>
                <w:color w:val="000000"/>
                <w:position w:val="0"/>
                <w:sz w:val="32"/>
                <w:szCs w:val="32"/>
                <w:rFonts w:ascii="宋体" w:eastAsia="宋体" w:hAnsi="宋体" w:hint="default"/>
              </w:rPr>
              <w:autoSpaceDE w:val="1"/>
              <w:autoSpaceDN w:val="1"/>
            </w:pPr>
          </w:p>
        </w:tc>
      </w:tr>
      <w:tr>
        <w:trPr>
          <w:trHeight w:hRule="atleast" w:val="640"/>
          <w:hidden w:val="0"/>
        </w:trPr>
        <w:tc>
          <w:tcPr>
            <w:tcW w:type="dxa" w:w="5277"/>
            <w:vAlign w:val="center"/>
            <w:tcBorders>
              <w:bottom w:val="single" w:color="auto" w:sz="4"/>
              <w:left w:val="single" w:color="auto" w:sz="4"/>
              <w:right w:val="single" w:color="auto" w:sz="4"/>
              <w:top w:val="nil" w:color="auto"/>
            </w:tcBorders>
          </w:tcPr>
          <w:p>
            <w:pPr>
              <w:numPr>
                <w:ilvl w:val="0"/>
                <w:numId w:val="0"/>
              </w:numPr>
              <w:jc w:val="both"/>
              <w:spacing w:lineRule="auto" w:line="240" w:before="0" w:after="0"/>
              <w:ind w:right="0" w:firstLine="0"/>
              <w:rPr>
                <w:color w:val="000000"/>
                <w:position w:val="0"/>
                <w:sz w:val="32"/>
                <w:szCs w:val="32"/>
                <w:rFonts w:ascii="宋体" w:eastAsia="宋体" w:hAnsi="宋体" w:hint="default"/>
              </w:rPr>
              <w:autoSpaceDE w:val="1"/>
              <w:autoSpaceDN w:val="1"/>
            </w:pPr>
            <w:r>
              <w:rPr>
                <w:color w:val="000000"/>
                <w:position w:val="0"/>
                <w:sz w:val="32"/>
                <w:szCs w:val="32"/>
                <w:rFonts w:ascii="宋体" w:eastAsia="宋体" w:hAnsi="宋体" w:hint="default"/>
              </w:rPr>
              <w:t>2</w:t>
            </w:r>
            <w:r>
              <w:rPr>
                <w:color w:val="000000"/>
                <w:position w:val="0"/>
                <w:sz w:val="32"/>
                <w:szCs w:val="32"/>
                <w:rFonts w:ascii="宋体" w:eastAsia="Calibri" w:hAnsi="Calibri" w:hint="default"/>
              </w:rPr>
              <w:t>、车辆（台、辆）</w:t>
            </w:r>
          </w:p>
        </w:tc>
        <w:tc>
          <w:tcPr>
            <w:tcW w:type="dxa" w:w="3188"/>
            <w:vAlign w:val="center"/>
            <w:tcBorders>
              <w:bottom w:val="single" w:color="auto" w:sz="4"/>
              <w:left w:val="nil" w:color="auto"/>
              <w:right w:val="single" w:color="auto" w:sz="4"/>
              <w:top w:val="nil" w:color="auto"/>
            </w:tcBorders>
          </w:tcPr>
          <w:p>
            <w:pPr>
              <w:numPr>
                <w:ilvl w:val="0"/>
                <w:numId w:val="0"/>
              </w:numPr>
              <w:jc w:val="both"/>
              <w:spacing w:lineRule="auto" w:line="240" w:before="0" w:after="0"/>
              <w:ind w:right="0" w:firstLine="0"/>
              <w:rPr>
                <w:color w:val="000000"/>
                <w:position w:val="0"/>
                <w:sz w:val="32"/>
                <w:szCs w:val="32"/>
                <w:rFonts w:ascii="宋体" w:eastAsia="宋体" w:hAnsi="宋体" w:hint="default"/>
              </w:rPr>
              <w:autoSpaceDE w:val="1"/>
              <w:autoSpaceDN w:val="1"/>
            </w:pPr>
            <w:r>
              <w:rPr>
                <w:color w:val="000000"/>
                <w:position w:val="0"/>
                <w:sz w:val="32"/>
                <w:szCs w:val="32"/>
                <w:rFonts w:ascii="宋体" w:eastAsia="宋体" w:hAnsi="宋体" w:hint="default"/>
              </w:rPr>
              <w:t>1</w:t>
            </w:r>
          </w:p>
        </w:tc>
        <w:tc>
          <w:tcPr>
            <w:tcW w:type="dxa" w:w="5155"/>
            <w:vAlign w:val="center"/>
            <w:tcBorders>
              <w:bottom w:val="single" w:color="auto" w:sz="4"/>
              <w:left w:val="nil" w:color="auto"/>
              <w:right w:val="single" w:color="auto" w:sz="4"/>
              <w:top w:val="nil" w:color="auto"/>
            </w:tcBorders>
          </w:tcPr>
          <w:p>
            <w:pPr>
              <w:numPr>
                <w:ilvl w:val="0"/>
                <w:numId w:val="0"/>
              </w:numPr>
              <w:jc w:val="both"/>
              <w:spacing w:lineRule="auto" w:line="240" w:before="0" w:after="0"/>
              <w:ind w:right="0" w:firstLine="0"/>
              <w:rPr>
                <w:color w:val="000000"/>
                <w:position w:val="0"/>
                <w:sz w:val="32"/>
                <w:szCs w:val="32"/>
                <w:rFonts w:ascii="宋体" w:eastAsia="宋体" w:hAnsi="宋体" w:hint="default"/>
              </w:rPr>
              <w:autoSpaceDE w:val="1"/>
              <w:autoSpaceDN w:val="1"/>
            </w:pPr>
            <w:r>
              <w:rPr>
                <w:color w:val="000000"/>
                <w:position w:val="0"/>
                <w:sz w:val="32"/>
                <w:szCs w:val="32"/>
                <w:rFonts w:ascii="宋体" w:eastAsia="宋体" w:hAnsi="宋体" w:hint="default"/>
              </w:rPr>
              <w:t>15.8478</w:t>
            </w:r>
          </w:p>
        </w:tc>
      </w:tr>
      <w:tr>
        <w:trPr>
          <w:trHeight w:hRule="atleast" w:val="640"/>
          <w:hidden w:val="0"/>
        </w:trPr>
        <w:tc>
          <w:tcPr>
            <w:tcW w:type="dxa" w:w="5277"/>
            <w:vAlign w:val="center"/>
            <w:tcBorders>
              <w:bottom w:val="single" w:color="auto" w:sz="4"/>
              <w:left w:val="single" w:color="auto" w:sz="4"/>
              <w:right w:val="single" w:color="auto" w:sz="4"/>
              <w:top w:val="nil" w:color="auto"/>
            </w:tcBorders>
          </w:tcPr>
          <w:p>
            <w:pPr>
              <w:numPr>
                <w:ilvl w:val="0"/>
                <w:numId w:val="0"/>
              </w:numPr>
              <w:jc w:val="both"/>
              <w:spacing w:lineRule="auto" w:line="240" w:before="0" w:after="0"/>
              <w:ind w:right="0" w:firstLine="0"/>
              <w:rPr>
                <w:color w:val="000000"/>
                <w:position w:val="0"/>
                <w:sz w:val="32"/>
                <w:szCs w:val="32"/>
                <w:rFonts w:ascii="宋体" w:eastAsia="宋体" w:hAnsi="宋体" w:hint="default"/>
              </w:rPr>
              <w:autoSpaceDE w:val="1"/>
              <w:autoSpaceDN w:val="1"/>
            </w:pPr>
            <w:r>
              <w:rPr>
                <w:color w:val="000000"/>
                <w:position w:val="0"/>
                <w:sz w:val="32"/>
                <w:szCs w:val="32"/>
                <w:rFonts w:ascii="宋体" w:eastAsia="宋体" w:hAnsi="宋体" w:hint="default"/>
              </w:rPr>
              <w:t>3</w:t>
            </w:r>
            <w:r>
              <w:rPr>
                <w:color w:val="000000"/>
                <w:position w:val="0"/>
                <w:sz w:val="32"/>
                <w:szCs w:val="32"/>
                <w:rFonts w:ascii="宋体" w:eastAsia="Calibri" w:hAnsi="Calibri" w:hint="default"/>
              </w:rPr>
              <w:t>、单价在</w:t>
            </w:r>
            <w:r>
              <w:rPr>
                <w:color w:val="000000"/>
                <w:position w:val="0"/>
                <w:sz w:val="32"/>
                <w:szCs w:val="32"/>
                <w:rFonts w:ascii="宋体" w:eastAsia="宋体" w:hAnsi="宋体" w:hint="default"/>
              </w:rPr>
              <w:t>20</w:t>
            </w:r>
            <w:r>
              <w:rPr>
                <w:color w:val="000000"/>
                <w:position w:val="0"/>
                <w:sz w:val="32"/>
                <w:szCs w:val="32"/>
                <w:rFonts w:ascii="宋体" w:eastAsia="Calibri" w:hAnsi="Calibri" w:hint="default"/>
              </w:rPr>
              <w:t>万元以上设备</w:t>
            </w:r>
          </w:p>
        </w:tc>
        <w:tc>
          <w:tcPr>
            <w:tcW w:type="dxa" w:w="3188"/>
            <w:vAlign w:val="center"/>
            <w:tcBorders>
              <w:bottom w:val="single" w:color="auto" w:sz="4"/>
              <w:left w:val="nil" w:color="auto"/>
              <w:right w:val="single" w:color="auto" w:sz="4"/>
              <w:top w:val="nil" w:color="auto"/>
            </w:tcBorders>
          </w:tcPr>
          <w:p>
            <w:pPr>
              <w:numPr>
                <w:ilvl w:val="0"/>
                <w:numId w:val="0"/>
              </w:numPr>
              <w:jc w:val="both"/>
              <w:spacing w:lineRule="auto" w:line="240" w:before="0" w:after="0"/>
              <w:ind w:right="0" w:firstLine="0"/>
              <w:rPr>
                <w:color w:val="000000"/>
                <w:position w:val="0"/>
                <w:sz w:val="32"/>
                <w:szCs w:val="32"/>
                <w:rFonts w:ascii="宋体" w:eastAsia="宋体" w:hAnsi="宋体" w:hint="default"/>
              </w:rPr>
              <w:autoSpaceDE w:val="1"/>
              <w:autoSpaceDN w:val="1"/>
            </w:pPr>
            <w:r>
              <w:rPr>
                <w:color w:val="000000"/>
                <w:position w:val="0"/>
                <w:sz w:val="32"/>
                <w:szCs w:val="32"/>
                <w:rFonts w:ascii="宋体" w:eastAsia="宋体" w:hAnsi="宋体" w:hint="default"/>
              </w:rPr>
              <w:t>——</w:t>
            </w:r>
          </w:p>
        </w:tc>
        <w:tc>
          <w:tcPr>
            <w:tcW w:type="dxa" w:w="5155"/>
            <w:vAlign w:val="center"/>
            <w:tcBorders>
              <w:bottom w:val="single" w:color="auto" w:sz="4"/>
              <w:left w:val="nil" w:color="auto"/>
              <w:right w:val="single" w:color="auto" w:sz="4"/>
              <w:top w:val="nil" w:color="auto"/>
            </w:tcBorders>
          </w:tcPr>
          <w:p>
            <w:pPr>
              <w:numPr>
                <w:ilvl w:val="0"/>
                <w:numId w:val="0"/>
              </w:numPr>
              <w:jc w:val="both"/>
              <w:spacing w:lineRule="auto" w:line="240" w:before="0" w:after="0"/>
              <w:ind w:right="0" w:firstLine="0"/>
              <w:rPr>
                <w:color w:val="000000"/>
                <w:position w:val="0"/>
                <w:sz w:val="32"/>
                <w:szCs w:val="32"/>
                <w:rFonts w:ascii="宋体" w:eastAsia="宋体" w:hAnsi="宋体" w:hint="default"/>
              </w:rPr>
              <w:autoSpaceDE w:val="1"/>
              <w:autoSpaceDN w:val="1"/>
            </w:pPr>
          </w:p>
        </w:tc>
      </w:tr>
      <w:tr>
        <w:trPr>
          <w:trHeight w:hRule="atleast" w:val="640"/>
          <w:hidden w:val="0"/>
        </w:trPr>
        <w:tc>
          <w:tcPr>
            <w:tcW w:type="dxa" w:w="5277"/>
            <w:vAlign w:val="center"/>
            <w:tcBorders>
              <w:bottom w:val="single" w:color="auto" w:sz="4"/>
              <w:left w:val="single" w:color="auto" w:sz="4"/>
              <w:right w:val="single" w:color="auto" w:sz="4"/>
              <w:top w:val="nil" w:color="auto"/>
            </w:tcBorders>
          </w:tcPr>
          <w:p>
            <w:pPr>
              <w:numPr>
                <w:ilvl w:val="0"/>
                <w:numId w:val="0"/>
              </w:numPr>
              <w:jc w:val="both"/>
              <w:spacing w:lineRule="auto" w:line="240" w:before="0" w:after="0"/>
              <w:ind w:right="0" w:firstLine="0"/>
              <w:rPr>
                <w:color w:val="000000"/>
                <w:position w:val="0"/>
                <w:sz w:val="32"/>
                <w:szCs w:val="32"/>
                <w:rFonts w:ascii="宋体" w:eastAsia="宋体" w:hAnsi="宋体" w:hint="default"/>
              </w:rPr>
              <w:autoSpaceDE w:val="1"/>
              <w:autoSpaceDN w:val="1"/>
            </w:pPr>
            <w:r>
              <w:rPr>
                <w:color w:val="000000"/>
                <w:position w:val="0"/>
                <w:sz w:val="32"/>
                <w:szCs w:val="32"/>
                <w:rFonts w:ascii="宋体" w:eastAsia="宋体" w:hAnsi="宋体" w:hint="default"/>
              </w:rPr>
              <w:t>4</w:t>
            </w:r>
            <w:r>
              <w:rPr>
                <w:color w:val="000000"/>
                <w:position w:val="0"/>
                <w:sz w:val="32"/>
                <w:szCs w:val="32"/>
                <w:rFonts w:ascii="宋体" w:eastAsia="Calibri" w:hAnsi="Calibri" w:hint="default"/>
              </w:rPr>
              <w:t>、其他固定资产</w:t>
            </w:r>
          </w:p>
        </w:tc>
        <w:tc>
          <w:tcPr>
            <w:tcW w:type="dxa" w:w="3188"/>
            <w:vAlign w:val="center"/>
            <w:tcBorders>
              <w:bottom w:val="single" w:color="auto" w:sz="4"/>
              <w:left w:val="nil" w:color="auto"/>
              <w:right w:val="single" w:color="auto" w:sz="4"/>
              <w:top w:val="nil" w:color="auto"/>
            </w:tcBorders>
          </w:tcPr>
          <w:p>
            <w:pPr>
              <w:numPr>
                <w:ilvl w:val="0"/>
                <w:numId w:val="0"/>
              </w:numPr>
              <w:jc w:val="both"/>
              <w:spacing w:lineRule="auto" w:line="240" w:before="0" w:after="0"/>
              <w:ind w:right="0" w:firstLine="0"/>
              <w:rPr>
                <w:color w:val="000000"/>
                <w:position w:val="0"/>
                <w:sz w:val="32"/>
                <w:szCs w:val="32"/>
                <w:rFonts w:ascii="宋体" w:eastAsia="宋体" w:hAnsi="宋体" w:hint="default"/>
              </w:rPr>
              <w:autoSpaceDE w:val="1"/>
              <w:autoSpaceDN w:val="1"/>
            </w:pPr>
            <w:r>
              <w:rPr>
                <w:color w:val="000000"/>
                <w:position w:val="0"/>
                <w:sz w:val="32"/>
                <w:szCs w:val="32"/>
                <w:rFonts w:ascii="宋体" w:eastAsia="宋体" w:hAnsi="宋体" w:hint="default"/>
              </w:rPr>
              <w:t>——</w:t>
            </w:r>
          </w:p>
        </w:tc>
        <w:tc>
          <w:tcPr>
            <w:tcW w:type="dxa" w:w="5155"/>
            <w:vAlign w:val="center"/>
            <w:tcBorders>
              <w:bottom w:val="single" w:color="auto" w:sz="4"/>
              <w:left w:val="nil" w:color="auto"/>
              <w:right w:val="single" w:color="auto" w:sz="4"/>
              <w:top w:val="nil" w:color="auto"/>
            </w:tcBorders>
          </w:tcPr>
          <w:p>
            <w:pPr>
              <w:numPr>
                <w:ilvl w:val="0"/>
                <w:numId w:val="0"/>
              </w:numPr>
              <w:jc w:val="both"/>
              <w:spacing w:lineRule="auto" w:line="240" w:before="0" w:after="0"/>
              <w:ind w:right="0" w:firstLine="0"/>
              <w:rPr>
                <w:color w:val="000000"/>
                <w:position w:val="0"/>
                <w:sz w:val="32"/>
                <w:szCs w:val="32"/>
                <w:rFonts w:ascii="宋体" w:eastAsia="宋体" w:hAnsi="宋体" w:hint="default"/>
              </w:rPr>
              <w:autoSpaceDE w:val="1"/>
              <w:autoSpaceDN w:val="1"/>
            </w:pPr>
            <w:r>
              <w:rPr>
                <w:color w:val="000000"/>
                <w:position w:val="0"/>
                <w:sz w:val="32"/>
                <w:szCs w:val="32"/>
                <w:rFonts w:ascii="宋体" w:eastAsia="宋体" w:hAnsi="宋体" w:hint="default"/>
              </w:rPr>
              <w:t>75.6454</w:t>
            </w:r>
          </w:p>
        </w:tc>
      </w:tr>
    </w:tbl>
    <w:p>
      <w:pPr>
        <w:sectPr>
          <w:pgSz w:w="16838" w:h="11906" w:orient="landscape"/>
          <w:pgMar w:top="1797" w:left="1440" w:bottom="1797" w:right="1440" w:header="851" w:footer="992" w:gutter="0"/>
          <w:pgNumType w:fmt="decimal"/>
          <w:docGrid w:type="default" w:linePitch="312" w:charSpace="0"/>
        </w:sectPr>
        <w:numPr>
          <w:ilvl w:val="0"/>
          <w:numId w:val="0"/>
        </w:numPr>
        <w:jc w:val="left"/>
        <w:spacing w:lineRule="auto" w:line="240" w:before="0" w:after="0"/>
        <w:ind w:right="0" w:firstLine="0"/>
        <w:rPr>
          <w:color w:val="auto"/>
          <w:position w:val="0"/>
          <w:sz w:val="32"/>
          <w:szCs w:val="32"/>
          <w:rFonts w:ascii="??" w:eastAsia="Times New Roman" w:hAnsi="Times New Roman" w:hint="default"/>
        </w:rPr>
        <w:wordWrap w:val="off"/>
      </w:pPr>
    </w:p>
    <w:p>
      <w:pPr>
        <w:numPr>
          <w:ilvl w:val="0"/>
          <w:numId w:val="0"/>
        </w:numPr>
        <w:jc w:val="left"/>
        <w:spacing w:lineRule="auto" w:line="240" w:before="0" w:after="0"/>
        <w:ind w:right="0" w:firstLine="0"/>
        <w:rPr>
          <w:color w:val="auto"/>
          <w:position w:val="0"/>
          <w:sz w:val="32"/>
          <w:szCs w:val="32"/>
          <w:rFonts w:ascii="??" w:eastAsia="??" w:hAnsi="??" w:hint="default"/>
        </w:rPr>
        <w:autoSpaceDE w:val="0"/>
        <w:autoSpaceDN w:val="0"/>
      </w:pPr>
    </w:p>
    <w:p>
      <w:pPr>
        <w:numPr>
          <w:ilvl w:val="0"/>
          <w:numId w:val="0"/>
        </w:numPr>
        <w:jc w:val="both"/>
        <w:spacing w:lineRule="atLeast" w:line="240" w:before="0" w:after="0"/>
        <w:ind w:right="0" w:firstLine="640"/>
        <w:rPr>
          <w:spacing w:val="0"/>
          <w:vertAlign w:val="baseline"/>
          <w:i w:val="0"/>
          <w:b w:val="1"/>
          <w:imprint w:val="0"/>
          <w:emboss w:val="0"/>
          <w:outline w:val="0"/>
          <w:shadow w:val="0"/>
          <w:color w:val="auto"/>
          <w:position w:val="0"/>
          <w:sz w:val="32"/>
          <w:szCs w:val="32"/>
          <w:u w:val="none"/>
          <w:smallCaps w:val="0"/>
          <w:rFonts w:ascii="??" w:eastAsia="Calibri" w:hAnsi="Calibri" w:hint="default"/>
        </w:rPr>
        <w:autoSpaceDE w:val="0"/>
        <w:autoSpaceDN w:val="0"/>
      </w:pPr>
      <w:r>
        <w:rPr>
          <w:spacing w:val="0"/>
          <w:vertAlign w:val="baseline"/>
          <w:i w:val="0"/>
          <w:b w:val="1"/>
          <w:imprint w:val="0"/>
          <w:emboss w:val="0"/>
          <w:outline w:val="0"/>
          <w:shadow w:val="0"/>
          <w:color w:val="auto"/>
          <w:position w:val="0"/>
          <w:sz w:val="32"/>
          <w:szCs w:val="32"/>
          <w:u w:val="none"/>
          <w:smallCaps w:val="0"/>
          <w:rFonts w:ascii="??" w:eastAsia="Calibri" w:hAnsi="Calibri" w:hint="default"/>
        </w:rPr>
        <w:t>八、名词解释</w:t>
      </w:r>
    </w:p>
    <w:p>
      <w:pPr>
        <w:numPr>
          <w:ilvl w:val="0"/>
          <w:numId w:val="0"/>
        </w:numPr>
        <w:jc w:val="both"/>
        <w:spacing w:lineRule="auto" w:line="240" w:before="0" w:after="0"/>
        <w:ind w:right="0" w:firstLine="640"/>
        <w:rPr>
          <w:color w:val="auto"/>
          <w:position w:val="0"/>
          <w:sz w:val="32"/>
          <w:szCs w:val="32"/>
          <w:rFonts w:ascii="仿宋" w:eastAsia="仿宋" w:hAnsi="仿宋" w:hint="default"/>
        </w:rPr>
        <w:autoSpaceDE w:val="1"/>
        <w:autoSpaceDN w:val="1"/>
      </w:pPr>
      <w:r>
        <w:rPr>
          <w:color w:val="auto"/>
          <w:position w:val="0"/>
          <w:sz w:val="32"/>
          <w:szCs w:val="32"/>
          <w:rFonts w:ascii="仿宋" w:eastAsia="仿宋" w:hAnsi="仿宋" w:hint="default"/>
        </w:rPr>
        <w:t>1、一般公共预算拨款收入：指财政当年拨付的资金。</w:t>
      </w:r>
    </w:p>
    <w:p>
      <w:pPr>
        <w:numPr>
          <w:ilvl w:val="0"/>
          <w:numId w:val="0"/>
        </w:numPr>
        <w:jc w:val="both"/>
        <w:spacing w:lineRule="auto" w:line="240" w:before="0" w:after="0"/>
        <w:ind w:right="0" w:firstLine="640"/>
        <w:rPr>
          <w:color w:val="auto"/>
          <w:position w:val="0"/>
          <w:sz w:val="32"/>
          <w:szCs w:val="32"/>
          <w:rFonts w:ascii="仿宋" w:eastAsia="仿宋" w:hAnsi="仿宋" w:hint="default"/>
        </w:rPr>
        <w:autoSpaceDE w:val="1"/>
        <w:autoSpaceDN w:val="1"/>
      </w:pPr>
      <w:r>
        <w:rPr>
          <w:color w:val="auto"/>
          <w:position w:val="0"/>
          <w:sz w:val="32"/>
          <w:szCs w:val="32"/>
          <w:rFonts w:ascii="仿宋" w:eastAsia="仿宋" w:hAnsi="仿宋" w:hint="default"/>
        </w:rPr>
        <w:t>2、事业收入：指事业单位开展专业业务活动及辅助活动</w:t>
      </w:r>
      <w:r>
        <w:rPr>
          <w:color w:val="auto"/>
          <w:position w:val="0"/>
          <w:sz w:val="32"/>
          <w:szCs w:val="32"/>
          <w:rFonts w:ascii="仿宋" w:eastAsia="仿宋" w:hAnsi="仿宋" w:hint="default"/>
        </w:rPr>
        <w:t>所取得的收入。</w:t>
      </w:r>
    </w:p>
    <w:p>
      <w:pPr>
        <w:numPr>
          <w:ilvl w:val="0"/>
          <w:numId w:val="0"/>
        </w:numPr>
        <w:jc w:val="both"/>
        <w:spacing w:lineRule="auto" w:line="240" w:before="0" w:after="0"/>
        <w:ind w:right="0" w:firstLine="640"/>
        <w:rPr>
          <w:color w:val="auto"/>
          <w:position w:val="0"/>
          <w:sz w:val="32"/>
          <w:szCs w:val="32"/>
          <w:rFonts w:ascii="仿宋" w:eastAsia="仿宋" w:hAnsi="仿宋" w:hint="default"/>
        </w:rPr>
        <w:autoSpaceDE w:val="1"/>
        <w:autoSpaceDN w:val="1"/>
      </w:pPr>
      <w:r>
        <w:rPr>
          <w:color w:val="auto"/>
          <w:position w:val="0"/>
          <w:sz w:val="32"/>
          <w:szCs w:val="32"/>
          <w:rFonts w:ascii="仿宋" w:eastAsia="仿宋" w:hAnsi="仿宋" w:hint="default"/>
        </w:rPr>
        <w:t>3、其他收入：指除“一般公共预算拨款收入”、“事业</w:t>
      </w:r>
      <w:r>
        <w:rPr>
          <w:color w:val="auto"/>
          <w:position w:val="0"/>
          <w:sz w:val="32"/>
          <w:szCs w:val="32"/>
          <w:rFonts w:ascii="仿宋" w:eastAsia="仿宋" w:hAnsi="仿宋" w:hint="default"/>
        </w:rPr>
        <w:t>收入”等以外的收入。主要是按规定动用的租房收入、存</w:t>
      </w:r>
      <w:r>
        <w:rPr>
          <w:color w:val="auto"/>
          <w:position w:val="0"/>
          <w:sz w:val="32"/>
          <w:szCs w:val="32"/>
          <w:rFonts w:ascii="仿宋" w:eastAsia="仿宋" w:hAnsi="仿宋" w:hint="default"/>
        </w:rPr>
        <w:t>款利息收入等。</w:t>
      </w:r>
    </w:p>
    <w:p>
      <w:pPr>
        <w:numPr>
          <w:ilvl w:val="0"/>
          <w:numId w:val="0"/>
        </w:numPr>
        <w:jc w:val="both"/>
        <w:spacing w:lineRule="auto" w:line="240" w:before="0" w:after="0"/>
        <w:ind w:right="0" w:firstLine="640"/>
        <w:rPr>
          <w:color w:val="auto"/>
          <w:position w:val="0"/>
          <w:sz w:val="32"/>
          <w:szCs w:val="32"/>
          <w:rFonts w:ascii="仿宋" w:eastAsia="仿宋" w:hAnsi="仿宋" w:hint="default"/>
        </w:rPr>
        <w:autoSpaceDE w:val="1"/>
        <w:autoSpaceDN w:val="1"/>
      </w:pPr>
      <w:r>
        <w:rPr>
          <w:color w:val="auto"/>
          <w:position w:val="0"/>
          <w:sz w:val="32"/>
          <w:szCs w:val="32"/>
          <w:rFonts w:ascii="仿宋" w:eastAsia="仿宋" w:hAnsi="仿宋" w:hint="default"/>
        </w:rPr>
        <w:t>4、基本支出：指为保障机构正常运转、完成日常工作任</w:t>
      </w:r>
      <w:r>
        <w:rPr>
          <w:color w:val="auto"/>
          <w:position w:val="0"/>
          <w:sz w:val="32"/>
          <w:szCs w:val="32"/>
          <w:rFonts w:ascii="仿宋" w:eastAsia="仿宋" w:hAnsi="仿宋" w:hint="default"/>
        </w:rPr>
        <w:t>务而发生的人员支出和公用支出。</w:t>
      </w:r>
    </w:p>
    <w:p>
      <w:pPr>
        <w:numPr>
          <w:ilvl w:val="0"/>
          <w:numId w:val="0"/>
        </w:numPr>
        <w:jc w:val="both"/>
        <w:spacing w:lineRule="auto" w:line="240" w:before="0" w:after="0"/>
        <w:ind w:right="0" w:firstLine="640"/>
        <w:rPr>
          <w:color w:val="auto"/>
          <w:position w:val="0"/>
          <w:sz w:val="32"/>
          <w:szCs w:val="32"/>
          <w:rFonts w:ascii="仿宋" w:eastAsia="仿宋" w:hAnsi="仿宋" w:hint="default"/>
        </w:rPr>
        <w:autoSpaceDE w:val="1"/>
        <w:autoSpaceDN w:val="1"/>
      </w:pPr>
      <w:r>
        <w:rPr>
          <w:color w:val="auto"/>
          <w:position w:val="0"/>
          <w:sz w:val="32"/>
          <w:szCs w:val="32"/>
          <w:rFonts w:ascii="仿宋" w:eastAsia="仿宋" w:hAnsi="仿宋" w:hint="default"/>
        </w:rPr>
        <w:t>5、项目支出：指在基本支出之外为完成特定行政任务和</w:t>
      </w:r>
      <w:r>
        <w:rPr>
          <w:color w:val="auto"/>
          <w:position w:val="0"/>
          <w:sz w:val="32"/>
          <w:szCs w:val="32"/>
          <w:rFonts w:ascii="仿宋" w:eastAsia="仿宋" w:hAnsi="仿宋" w:hint="default"/>
        </w:rPr>
        <w:t>事业发展目标所发生的支出。</w:t>
      </w:r>
    </w:p>
    <w:p>
      <w:pPr>
        <w:numPr>
          <w:ilvl w:val="0"/>
          <w:numId w:val="0"/>
        </w:numPr>
        <w:jc w:val="both"/>
        <w:spacing w:lineRule="auto" w:line="240" w:before="0" w:after="0"/>
        <w:ind w:right="0" w:firstLine="640"/>
        <w:rPr>
          <w:color w:val="auto"/>
          <w:position w:val="0"/>
          <w:sz w:val="32"/>
          <w:szCs w:val="32"/>
          <w:rFonts w:ascii="仿宋" w:eastAsia="仿宋" w:hAnsi="仿宋" w:hint="default"/>
        </w:rPr>
        <w:autoSpaceDE w:val="1"/>
        <w:autoSpaceDN w:val="1"/>
      </w:pPr>
      <w:r>
        <w:rPr>
          <w:color w:val="auto"/>
          <w:position w:val="0"/>
          <w:sz w:val="32"/>
          <w:szCs w:val="32"/>
          <w:rFonts w:ascii="仿宋" w:eastAsia="仿宋" w:hAnsi="仿宋" w:hint="default"/>
        </w:rPr>
        <w:t>6、上缴上级支出：指下级单位上缴上级的支出。</w:t>
      </w:r>
    </w:p>
    <w:p>
      <w:pPr>
        <w:numPr>
          <w:ilvl w:val="0"/>
          <w:numId w:val="0"/>
        </w:numPr>
        <w:jc w:val="both"/>
        <w:spacing w:lineRule="auto" w:line="240" w:before="0" w:after="0"/>
        <w:ind w:right="0" w:firstLine="640"/>
        <w:rPr>
          <w:color w:val="auto"/>
          <w:position w:val="0"/>
          <w:sz w:val="32"/>
          <w:szCs w:val="32"/>
          <w:rFonts w:ascii="仿宋" w:eastAsia="仿宋" w:hAnsi="仿宋" w:hint="default"/>
        </w:rPr>
        <w:autoSpaceDE w:val="1"/>
        <w:autoSpaceDN w:val="1"/>
      </w:pPr>
      <w:r>
        <w:rPr>
          <w:color w:val="auto"/>
          <w:position w:val="0"/>
          <w:sz w:val="32"/>
          <w:szCs w:val="32"/>
          <w:rFonts w:ascii="仿宋" w:eastAsia="仿宋" w:hAnsi="仿宋" w:hint="default"/>
        </w:rPr>
        <w:t>7、“三公”经费：纳入财政预算管理的“三公”经费，</w:t>
      </w:r>
      <w:r>
        <w:rPr>
          <w:color w:val="auto"/>
          <w:position w:val="0"/>
          <w:sz w:val="32"/>
          <w:szCs w:val="32"/>
          <w:rFonts w:ascii="仿宋" w:eastAsia="仿宋" w:hAnsi="仿宋" w:hint="default"/>
        </w:rPr>
        <w:t>是指部门用财政拨款安排的因公出国（境）费、公务用车购置</w:t>
      </w:r>
      <w:r>
        <w:rPr>
          <w:color w:val="auto"/>
          <w:position w:val="0"/>
          <w:sz w:val="32"/>
          <w:szCs w:val="32"/>
          <w:rFonts w:ascii="仿宋" w:eastAsia="仿宋" w:hAnsi="仿宋" w:hint="default"/>
        </w:rPr>
        <w:t>及运维费和公务接待费。其中，因公出国（境）费反映单位公</w:t>
      </w:r>
      <w:r>
        <w:rPr>
          <w:color w:val="auto"/>
          <w:position w:val="0"/>
          <w:sz w:val="32"/>
          <w:szCs w:val="32"/>
          <w:rFonts w:ascii="仿宋" w:eastAsia="仿宋" w:hAnsi="仿宋" w:hint="default"/>
        </w:rPr>
        <w:t>务出国（境）的住宿费、旅费、伙食补助费、杂费、培训费等</w:t>
      </w:r>
      <w:r>
        <w:rPr>
          <w:color w:val="auto"/>
          <w:position w:val="0"/>
          <w:sz w:val="32"/>
          <w:szCs w:val="32"/>
          <w:rFonts w:ascii="仿宋" w:eastAsia="仿宋" w:hAnsi="仿宋" w:hint="default"/>
        </w:rPr>
        <w:t>支出；公务用车购置及运维费反映单位公务用车购置费及</w:t>
      </w:r>
      <w:r>
        <w:rPr>
          <w:color w:val="auto"/>
          <w:position w:val="0"/>
          <w:sz w:val="32"/>
          <w:szCs w:val="32"/>
          <w:rFonts w:ascii="仿宋" w:eastAsia="仿宋" w:hAnsi="仿宋" w:hint="default"/>
        </w:rPr>
        <w:t>租用费、燃料费、维修费、过路过桥费、保险费、安全奖励费</w:t>
      </w:r>
      <w:r>
        <w:rPr>
          <w:color w:val="auto"/>
          <w:position w:val="0"/>
          <w:sz w:val="32"/>
          <w:szCs w:val="32"/>
          <w:rFonts w:ascii="仿宋" w:eastAsia="仿宋" w:hAnsi="仿宋" w:hint="default"/>
        </w:rPr>
        <w:t>用等支出；公务接待费反映单位按规定开支的各类公务接</w:t>
      </w:r>
      <w:r>
        <w:rPr>
          <w:color w:val="auto"/>
          <w:position w:val="0"/>
          <w:sz w:val="32"/>
          <w:szCs w:val="32"/>
          <w:rFonts w:ascii="仿宋" w:eastAsia="仿宋" w:hAnsi="仿宋" w:hint="default"/>
        </w:rPr>
        <w:t>待（含外宾接待）支出。</w:t>
      </w:r>
    </w:p>
    <w:p>
      <w:pPr>
        <w:numPr>
          <w:ilvl w:val="0"/>
          <w:numId w:val="0"/>
        </w:numPr>
        <w:jc w:val="both"/>
        <w:spacing w:lineRule="auto" w:line="240" w:before="0" w:after="0"/>
        <w:ind w:right="0" w:firstLine="640"/>
        <w:rPr>
          <w:color w:val="auto"/>
          <w:position w:val="0"/>
          <w:sz w:val="32"/>
          <w:szCs w:val="32"/>
          <w:rFonts w:ascii="仿宋" w:eastAsia="仿宋" w:hAnsi="仿宋" w:hint="default"/>
        </w:rPr>
        <w:autoSpaceDE w:val="1"/>
        <w:autoSpaceDN w:val="1"/>
      </w:pPr>
      <w:r>
        <w:rPr>
          <w:color w:val="auto"/>
          <w:position w:val="0"/>
          <w:sz w:val="32"/>
          <w:szCs w:val="32"/>
          <w:rFonts w:ascii="仿宋" w:eastAsia="仿宋" w:hAnsi="仿宋" w:hint="default"/>
        </w:rPr>
        <w:t>8、机关运行费：是指各部门的公用经费，包括办公及印</w:t>
      </w:r>
      <w:r>
        <w:rPr>
          <w:color w:val="auto"/>
          <w:position w:val="0"/>
          <w:sz w:val="32"/>
          <w:szCs w:val="32"/>
          <w:rFonts w:ascii="仿宋" w:eastAsia="仿宋" w:hAnsi="仿宋" w:hint="default"/>
        </w:rPr>
        <w:t>刷费、邮电费、差旅费、会议费、福利费、日常维修费、专用</w:t>
      </w:r>
      <w:r>
        <w:rPr>
          <w:color w:val="auto"/>
          <w:position w:val="0"/>
          <w:sz w:val="32"/>
          <w:szCs w:val="32"/>
          <w:rFonts w:ascii="仿宋" w:eastAsia="仿宋" w:hAnsi="仿宋" w:hint="default"/>
        </w:rPr>
        <w:t>材料及一般设备购置费、办公用房水电费、办公用房取暖</w:t>
      </w:r>
      <w:r>
        <w:rPr>
          <w:color w:val="auto"/>
          <w:position w:val="0"/>
          <w:sz w:val="32"/>
          <w:szCs w:val="32"/>
          <w:rFonts w:ascii="仿宋" w:eastAsia="仿宋" w:hAnsi="仿宋" w:hint="default"/>
        </w:rPr>
        <w:t>费、办公用房物业管理费、公务用车运行维护费以及其他</w:t>
      </w:r>
      <w:r>
        <w:rPr>
          <w:color w:val="auto"/>
          <w:position w:val="0"/>
          <w:sz w:val="32"/>
          <w:szCs w:val="32"/>
          <w:rFonts w:ascii="仿宋" w:eastAsia="仿宋" w:hAnsi="仿宋" w:hint="default"/>
        </w:rPr>
        <w:t>费用。</w:t>
      </w:r>
    </w:p>
    <w:p>
      <w:pPr>
        <w:numPr>
          <w:ilvl w:val="0"/>
          <w:numId w:val="0"/>
        </w:numPr>
        <w:jc w:val="both"/>
        <w:spacing w:lineRule="auto" w:line="240" w:before="0" w:after="0"/>
        <w:ind w:right="0" w:firstLine="640"/>
        <w:rPr>
          <w:color w:val="auto"/>
          <w:position w:val="0"/>
          <w:sz w:val="32"/>
          <w:szCs w:val="32"/>
          <w:rFonts w:ascii="仿宋" w:eastAsia="仿宋" w:hAnsi="仿宋" w:hint="default"/>
        </w:rPr>
        <w:autoSpaceDE w:val="1"/>
        <w:autoSpaceDN w:val="1"/>
      </w:pPr>
      <w:r>
        <w:rPr>
          <w:color w:val="auto"/>
          <w:position w:val="0"/>
          <w:sz w:val="32"/>
          <w:szCs w:val="32"/>
          <w:rFonts w:ascii="仿宋" w:eastAsia="仿宋" w:hAnsi="仿宋" w:hint="default"/>
        </w:rPr>
        <w:t>9、上年结转：指以前年度尚未完成、结转到本年仍按原</w:t>
      </w:r>
      <w:r>
        <w:rPr>
          <w:color w:val="auto"/>
          <w:position w:val="0"/>
          <w:sz w:val="32"/>
          <w:szCs w:val="32"/>
          <w:rFonts w:ascii="仿宋" w:eastAsia="仿宋" w:hAnsi="仿宋" w:hint="default"/>
        </w:rPr>
        <w:t>规定用途继续使用的资金。</w:t>
      </w:r>
    </w:p>
    <w:p>
      <w:pPr>
        <w:numPr>
          <w:ilvl w:val="0"/>
          <w:numId w:val="0"/>
        </w:numPr>
        <w:jc w:val="both"/>
        <w:spacing w:lineRule="auto" w:line="240" w:before="0" w:after="0"/>
        <w:ind w:right="0" w:firstLine="640"/>
        <w:rPr>
          <w:color w:val="auto"/>
          <w:position w:val="0"/>
          <w:sz w:val="32"/>
          <w:szCs w:val="32"/>
          <w:rFonts w:ascii="仿宋" w:eastAsia="仿宋" w:hAnsi="仿宋" w:hint="default"/>
        </w:rPr>
        <w:autoSpaceDE w:val="1"/>
        <w:autoSpaceDN w:val="1"/>
      </w:pPr>
      <w:r>
        <w:rPr>
          <w:color w:val="auto"/>
          <w:position w:val="0"/>
          <w:sz w:val="32"/>
          <w:szCs w:val="32"/>
          <w:rFonts w:ascii="仿宋" w:eastAsia="仿宋" w:hAnsi="仿宋" w:hint="default"/>
        </w:rPr>
        <w:t>10、事业单位经营支出：指事业单位在专业业务活动</w:t>
      </w:r>
      <w:r>
        <w:rPr>
          <w:color w:val="auto"/>
          <w:position w:val="0"/>
          <w:sz w:val="32"/>
          <w:szCs w:val="32"/>
          <w:rFonts w:ascii="仿宋" w:eastAsia="仿宋" w:hAnsi="仿宋" w:hint="default"/>
        </w:rPr>
        <w:t>及其辅助活动之外开展非独立核算经营活动发生的支出。</w:t>
      </w:r>
    </w:p>
    <w:p>
      <w:pPr>
        <w:numPr>
          <w:ilvl w:val="0"/>
          <w:numId w:val="0"/>
        </w:numPr>
        <w:jc w:val="both"/>
        <w:spacing w:lineRule="auto" w:line="240" w:before="0" w:after="0"/>
        <w:ind w:right="0" w:firstLine="640"/>
        <w:rPr>
          <w:b w:val="1"/>
          <w:color w:val="auto"/>
          <w:position w:val="0"/>
          <w:sz w:val="32"/>
          <w:szCs w:val="32"/>
          <w:rFonts w:ascii="??-???????" w:eastAsia="??-???????" w:hAnsi="??-???????" w:hint="default"/>
        </w:rPr>
        <w:autoSpaceDE w:val="1"/>
        <w:autoSpaceDN w:val="1"/>
      </w:pPr>
      <w:r>
        <w:rPr>
          <w:b w:val="1"/>
          <w:color w:val="auto"/>
          <w:position w:val="0"/>
          <w:sz w:val="32"/>
          <w:szCs w:val="32"/>
          <w:rFonts w:ascii="宋体" w:eastAsia="Calibri" w:hAnsi="Calibri" w:hint="default"/>
        </w:rPr>
        <w:t>九、其他需要说明的事项</w:t>
      </w:r>
    </w:p>
    <w:p>
      <w:pPr>
        <w:numPr>
          <w:ilvl w:val="0"/>
          <w:numId w:val="0"/>
        </w:numPr>
        <w:jc w:val="both"/>
        <w:spacing w:lineRule="auto" w:line="240" w:before="0" w:after="0"/>
        <w:ind w:right="0" w:firstLine="640"/>
        <w:rPr>
          <w:color w:val="auto"/>
          <w:position w:val="0"/>
          <w:sz w:val="32"/>
          <w:szCs w:val="32"/>
          <w:rFonts w:ascii="仿宋" w:eastAsia="仿宋" w:hAnsi="仿宋" w:hint="default"/>
        </w:rPr>
        <w:autoSpaceDE w:val="1"/>
        <w:autoSpaceDN w:val="1"/>
      </w:pPr>
      <w:r>
        <w:rPr>
          <w:color w:val="auto"/>
          <w:position w:val="0"/>
          <w:sz w:val="32"/>
          <w:szCs w:val="32"/>
          <w:rFonts w:ascii="仿宋" w:eastAsia="仿宋" w:hAnsi="仿宋" w:hint="default"/>
        </w:rPr>
        <w:t>我部门无其他需要说明的事项。</w:t>
      </w:r>
    </w:p>
    <w:sectPr>
      <w:pgSz w:w="11906" w:h="16838"/>
      <w:pgMar w:top="1440" w:left="1797" w:bottom="1440" w:right="1797" w:header="851" w:footer="992" w:gutter="0"/>
      <w:pgNumType w:fmt="decimal"/>
      <w:docGrid w:type="default" w:linePitch="312" w:charSpace="0"/>
    </w:sectPr>
  </w:body>
</w:document>
</file>

<file path=word/fontTable.xml><?xml version="1.0" encoding="utf-8"?>
<w:fonts xmlns:r="http://schemas.openxmlformats.org/officeDocument/2006/relationships" xmlns:w="http://schemas.openxmlformats.org/wordprocessingml/2006/main">
  <w:font w:name="宋体">
    <w:panose1 w:val="020F0502020204030204"/>
    <w:charset w:val="0"/>
    <w:family w:val="mordern"/>
    <w:pitch w:val="variable"/>
    <w:sig w:usb0="A00002EF" w:usb1="4000207B" w:usb2="00000000" w:usb3="00000000" w:csb0="FFFFFFFF" w:csb1="00000000"/>
  </w:font>
  <w:font w:name="Calibri">
    <w:panose1 w:val="020F0502020204030204"/>
    <w:charset w:val="0"/>
    <w:family w:val="mordern"/>
    <w:pitch w:val="variable"/>
    <w:sig w:usb0="A00002EF" w:usb1="4000207B" w:usb2="00000000" w:usb3="00000000" w:csb0="FFFFFFFF" w:csb1="00000000"/>
  </w:font>
  <w:font w:name="Wingdings">
    <w:panose1 w:val="020F0502020204030204"/>
    <w:charset w:val="0"/>
    <w:family w:val="mordern"/>
    <w:pitch w:val="variable"/>
    <w:sig w:usb0="A00002EF" w:usb1="4000207B" w:usb2="00000000" w:usb3="00000000" w:csb0="FFFFFFFF" w:csb1="00000000"/>
  </w:font>
  <w:font w:name="Times New Roman">
    <w:panose1 w:val="020F0502020204030204"/>
    <w:charset w:val="0"/>
    <w:family w:val="mordern"/>
    <w:pitch w:val="variable"/>
    <w:sig w:usb0="A00002EF" w:usb1="4000207B" w:usb2="00000000" w:usb3="00000000" w:csb0="FFFFFFFF" w:csb1="00000000"/>
  </w:font>
  <w:font w:name="Cambria">
    <w:panose1 w:val="020F0502020204030204"/>
    <w:charset w:val="0"/>
    <w:family w:val="mordern"/>
    <w:pitch w:val="variable"/>
    <w:sig w:usb0="A00002EF" w:usb1="4000207B" w:usb2="00000000" w:usb3="00000000" w:csb0="FFFFFFFF" w:csb1="00000000"/>
  </w:font>
  <w:font w:name="??">
    <w:panose1 w:val="020F0502020204030204"/>
    <w:charset w:val="0"/>
    <w:family w:val="mordern"/>
    <w:pitch w:val="variable"/>
    <w:sig w:usb0="A00002EF" w:usb1="4000207B" w:usb2="00000000" w:usb3="00000000" w:csb0="FFFFFFFF" w:csb1="00000000"/>
  </w:font>
  <w:font w:name="仿宋">
    <w:panose1 w:val="020F0502020204030204"/>
    <w:charset w:val="0"/>
    <w:family w:val="mordern"/>
    <w:pitch w:val="variable"/>
    <w:sig w:usb0="A00002EF" w:usb1="4000207B" w:usb2="00000000" w:usb3="00000000" w:csb0="FFFFFFFF" w:csb1="00000000"/>
  </w:font>
  <w:font w:name="方正书宋_GBK">
    <w:panose1 w:val="020F0502020204030204"/>
    <w:charset w:val="0"/>
    <w:family w:val="mordern"/>
    <w:pitch w:val="variable"/>
    <w:sig w:usb0="A00002EF" w:usb1="4000207B" w:usb2="00000000" w:usb3="00000000" w:csb0="FFFFFFFF" w:csb1="00000000"/>
  </w:font>
  <w:font w:name="????_GBK">
    <w:panose1 w:val="020F0502020204030204"/>
    <w:charset w:val="0"/>
    <w:family w:val="mordern"/>
    <w:pitch w:val="variable"/>
    <w:sig w:usb0="A00002EF" w:usb1="4000207B" w:usb2="00000000" w:usb3="00000000" w:csb0="FFFFFFFF" w:csb1="00000000"/>
  </w:font>
  <w:font w:name="맑은 고딕">
    <w:panose1 w:val="020F0502020204030204"/>
    <w:charset w:val="0"/>
    <w:family w:val="mordern"/>
    <w:pitch w:val="variable"/>
    <w:sig w:usb0="A00002EF" w:usb1="4000207B" w:usb2="00000000" w:usb3="00000000" w:csb0="FFFFFFFF" w:csb1="00000000"/>
  </w:font>
  <w:font w:name="??-???????">
    <w:panose1 w:val="020F0502020204030204"/>
    <w:charset w:val="0"/>
    <w:family w:val="mordern"/>
    <w:pitch w:val="variable"/>
    <w:sig w:usb0="A00002EF" w:usb1="4000207B" w:usb2="00000000" w:usb3="00000000" w:csb0="FFFFFFFF" w:csb1="00000000"/>
  </w:font>
  <w:font w:name="方正小标宋_GBK">
    <w:panose1 w:val="020F0502020204030204"/>
    <w:charset w:val="0"/>
    <w:family w:val="mordern"/>
    <w:pitch w:val="variable"/>
    <w:sig w:usb0="A00002EF" w:usb1="4000207B" w:usb2="00000000" w:usb3="00000000" w:csb0="FFFFFFFF" w:csb1="00000000"/>
  </w:font>
  <w:font w:name="等线">
    <w:panose1 w:val="020F0502020204030204"/>
    <w:charset w:val="0"/>
    <w:family w:val="mordern"/>
    <w:pitch w:val="variable"/>
    <w:sig w:usb0="A00002EF" w:usb1="4000207B" w:usb2="00000000" w:usb3="00000000" w:csb0="FFFFFFFF" w:csb1="00000000"/>
  </w:font>
  <w:font w:name="Symbol">
    <w:panose1 w:val="020F0502020204030204"/>
    <w:charset w:val="0"/>
    <w:family w:val="mordern"/>
    <w:pitch w:val="variable"/>
    <w:sig w:usb0="A00002EF" w:usb1="4000207B" w:usb2="00000000" w:usb3="00000000" w:csb0="FFFFFFFF" w:csb1="00000000"/>
  </w:font>
  <w:font w:name="方正楷体_GBK">
    <w:panose1 w:val="020F0502020204030204"/>
    <w:charset w:val="0"/>
    <w:family w:val="mordern"/>
    <w:pitch w:val="variable"/>
    <w:sig w:usb0="A00002EF" w:usb1="4000207B" w:usb2="00000000" w:usb3="00000000" w:csb0="FFFFFF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mc:Ignorable="w14 wp14">
  <w:footnote w:type="separator" w:id="-1">
    <w:p>
      <w:r>
        <w:separator/>
      </w:r>
    </w:p>
  </w:footnote>
  <w:footnote w:type="continuationSeparator" w:id="0">
    <w:p>
      <w:r>
        <w:continuationSeparator/>
      </w:r>
    </w:p>
  </w:footnote>
  <w:footnote w:id="1">
    <w:p>
      <w:pPr>
        <w:bidi w:val="0"/>
        <w:numPr>
          <w:ilvl w:val="0"/>
          <w:numId w:val="0"/>
        </w:numPr>
        <w:jc w:val="left"/>
        <w:spacing w:lineRule="auto" w:line="240" w:before="0" w:after="0"/>
        <w:pageBreakBefore w:val="0"/>
        <w:ind w:right="0" w:firstLine="0"/>
        <w:rPr>
          <w:rStyle w:val="PO152"/>
          <w:spacing w:val="0"/>
          <w:color w:val="auto"/>
          <w:position w:val="0"/>
          <w:sz w:val="18"/>
          <w:szCs w:val="18"/>
          <w:rFonts w:ascii="等线" w:eastAsia="等线" w:hAnsi="等线" w:hint="default"/>
        </w:rPr>
        <w:wordWrap w:val="off"/>
        <w:snapToGrid w:val="off"/>
        <w:autoSpaceDE w:val="1"/>
        <w:autoSpaceDN w:val="1"/>
      </w:pPr>
      <w:r>
        <w:rPr>
          <w:rStyle w:val="PO152"/>
          <w:spacing w:val="0"/>
          <w:vertAlign w:val="superscript"/>
          <w:color w:val="auto"/>
          <w:position w:val="0"/>
          <w:sz w:val="18"/>
          <w:szCs w:val="18"/>
          <w:rFonts w:ascii="Symbol" w:eastAsia="Symbol" w:hAnsi="Symbol" w:hint="default"/>
        </w:rPr>
        <w:footnoteRef/>
      </w:r>
      <w:r>
        <w:rPr>
          <w:rStyle w:val="PO152"/>
          <w:spacing w:val="0"/>
          <w:color w:val="auto"/>
          <w:position w:val="0"/>
          <w:sz w:val="24"/>
          <w:szCs w:val="24"/>
          <w:rFonts w:ascii="方正楷体_GBK" w:eastAsia="方正楷体_GBK" w:hAnsi="方正楷体_GBK" w:hint="default"/>
        </w:rPr>
        <w:t>备注：表中的年度预算数为项目支出，部门工作活动虽未安排项目支出，但由基本支出保障，由于基本支出无法拆分到相应的工作</w:t>
      </w:r>
      <w:r>
        <w:rPr>
          <w:rStyle w:val="PO152"/>
          <w:spacing w:val="0"/>
          <w:color w:val="auto"/>
          <w:position w:val="0"/>
          <w:sz w:val="24"/>
          <w:szCs w:val="24"/>
          <w:rFonts w:ascii="方正楷体_GBK" w:eastAsia="方正楷体_GBK" w:hAnsi="方正楷体_GBK" w:hint="default"/>
        </w:rPr>
        <w:t>活动，因此部分工作活动没有列示年度预算数。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w:abstractNum w:abstractNumId="0">
    <w:multiLevelType w:val="hybridMultilevel"/>
    <w:nsid w:val="2F000000"/>
    <w:tmpl w:val="1F000014"/>
    <w:lvl w:ilvl="0">
      <w:lvlJc w:val="left"/>
      <w:numFmt w:val="japaneseCounting"/>
      <w:start w:val="1"/>
      <w:suff w:val="tab"/>
      <w:pPr>
        <w:ind w:left="1720" w:hanging="1080"/>
        <w:jc w:val="both"/>
        <w:tabs>
          <w:tab w:val="left" w:pos="1720"/>
        </w:tabs>
      </w:pPr>
      <w:rPr>
        <w:rFonts w:ascii="Times New Roman" w:eastAsia="Times New Roman" w:hAnsi="Times New Roman"/>
        <w:shd w:val="clear"/>
        <w:sz w:val="32"/>
        <w:szCs w:val="32"/>
        <w:w w:val="100"/>
      </w:rPr>
      <w:lvlText w:val="（%1）"/>
    </w:lvl>
    <w:lvl w:ilvl="1">
      <w:lvlJc w:val="left"/>
      <w:numFmt w:val="lowerLetter"/>
      <w:start w:val="1"/>
      <w:suff w:val="tab"/>
      <w:pPr>
        <w:ind w:left="1480" w:hanging="420"/>
        <w:jc w:val="both"/>
        <w:tabs>
          <w:tab w:val="left" w:pos="1480"/>
        </w:tabs>
      </w:pPr>
      <w:rPr>
        <w:shd w:val="clear"/>
        <w:sz w:val="20"/>
        <w:szCs w:val="20"/>
        <w:w w:val="100"/>
      </w:rPr>
      <w:lvlText w:val="%2)"/>
    </w:lvl>
    <w:lvl w:ilvl="2">
      <w:lvlJc w:val="right"/>
      <w:numFmt w:val="lowerRoman"/>
      <w:start w:val="1"/>
      <w:suff w:val="tab"/>
      <w:pPr>
        <w:ind w:left="1900" w:hanging="420"/>
        <w:jc w:val="both"/>
        <w:tabs>
          <w:tab w:val="left" w:pos="1900"/>
        </w:tabs>
      </w:pPr>
      <w:rPr>
        <w:shd w:val="clear"/>
        <w:sz w:val="20"/>
        <w:szCs w:val="20"/>
        <w:w w:val="100"/>
      </w:rPr>
      <w:lvlText w:val="%3."/>
    </w:lvl>
    <w:lvl w:ilvl="3">
      <w:lvlJc w:val="left"/>
      <w:numFmt w:val="decimal"/>
      <w:start w:val="1"/>
      <w:suff w:val="tab"/>
      <w:pPr>
        <w:ind w:left="2320" w:hanging="420"/>
        <w:jc w:val="both"/>
        <w:tabs>
          <w:tab w:val="left" w:pos="2320"/>
        </w:tabs>
      </w:pPr>
      <w:rPr>
        <w:shd w:val="clear"/>
        <w:sz w:val="20"/>
        <w:szCs w:val="20"/>
        <w:w w:val="100"/>
      </w:rPr>
      <w:lvlText w:val="%4."/>
    </w:lvl>
    <w:lvl w:ilvl="4">
      <w:lvlJc w:val="left"/>
      <w:numFmt w:val="lowerLetter"/>
      <w:start w:val="1"/>
      <w:suff w:val="tab"/>
      <w:pPr>
        <w:ind w:left="2740" w:hanging="420"/>
        <w:jc w:val="both"/>
        <w:tabs>
          <w:tab w:val="left" w:pos="2740"/>
        </w:tabs>
      </w:pPr>
      <w:rPr>
        <w:shd w:val="clear"/>
        <w:sz w:val="20"/>
        <w:szCs w:val="20"/>
        <w:w w:val="100"/>
      </w:rPr>
      <w:lvlText w:val="%5)"/>
    </w:lvl>
    <w:lvl w:ilvl="5">
      <w:lvlJc w:val="right"/>
      <w:numFmt w:val="lowerRoman"/>
      <w:start w:val="1"/>
      <w:suff w:val="tab"/>
      <w:pPr>
        <w:ind w:left="3160" w:hanging="420"/>
        <w:jc w:val="both"/>
        <w:tabs>
          <w:tab w:val="left" w:pos="3160"/>
        </w:tabs>
      </w:pPr>
      <w:rPr>
        <w:shd w:val="clear"/>
        <w:sz w:val="20"/>
        <w:szCs w:val="20"/>
        <w:w w:val="100"/>
      </w:rPr>
      <w:lvlText w:val="%6."/>
    </w:lvl>
    <w:lvl w:ilvl="6">
      <w:lvlJc w:val="left"/>
      <w:numFmt w:val="decimal"/>
      <w:start w:val="1"/>
      <w:suff w:val="tab"/>
      <w:pPr>
        <w:ind w:left="3580" w:hanging="420"/>
        <w:jc w:val="both"/>
        <w:tabs>
          <w:tab w:val="left" w:pos="3580"/>
        </w:tabs>
      </w:pPr>
      <w:rPr>
        <w:shd w:val="clear"/>
        <w:sz w:val="20"/>
        <w:szCs w:val="20"/>
        <w:w w:val="100"/>
      </w:rPr>
      <w:lvlText w:val="%7."/>
    </w:lvl>
    <w:lvl w:ilvl="7">
      <w:lvlJc w:val="left"/>
      <w:numFmt w:val="lowerLetter"/>
      <w:start w:val="1"/>
      <w:suff w:val="tab"/>
      <w:pPr>
        <w:ind w:left="4000" w:hanging="420"/>
        <w:jc w:val="both"/>
        <w:tabs>
          <w:tab w:val="left" w:pos="4000"/>
        </w:tabs>
      </w:pPr>
      <w:rPr>
        <w:shd w:val="clear"/>
        <w:sz w:val="20"/>
        <w:szCs w:val="20"/>
        <w:w w:val="100"/>
      </w:rPr>
      <w:lvlText w:val="%8)"/>
    </w:lvl>
    <w:lvl w:ilvl="8">
      <w:lvlJc w:val="right"/>
      <w:numFmt w:val="lowerRoman"/>
      <w:start w:val="1"/>
      <w:suff w:val="tab"/>
      <w:pPr>
        <w:ind w:left="4420" w:hanging="420"/>
        <w:jc w:val="both"/>
        <w:tabs>
          <w:tab w:val="left" w:pos="4420"/>
        </w:tabs>
      </w:pPr>
      <w:rPr>
        <w:shd w:val="clear"/>
        <w:sz w:val="20"/>
        <w:szCs w:val="20"/>
        <w:w w:val="100"/>
      </w:rPr>
      <w:lvlText w:val="%9."/>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defaultTabStop w:val="420"/>
  <w:displayHorizontalDrawingGridEvery w:val="0"/>
  <w:displayVerticalDrawingGridEvery w:val="2"/>
  <w:characterSpacingControl w:val="compressPunctuation"/>
  <w:noLineBreaksAfter w:lang="ko-KR" w:val="$([{£¥·‘“〈《「『【〔〖〝﹙﹛﹝＄（．［｛￡￥"/>
  <w:noLineBreaksBefore w:lang="ko-KR" w:val="$([{£¥·‘“〈《「『【〔〖〝﹙﹛﹝＄（．［｛￡￥"/>
  <w:bordersDoNotSurroundHeader/>
  <w:bordersDoNotSurroundFooter/>
  <w:footnotePr>
    <w:footnote w:id="-1"/>
    <w:footnote w:id="0"/>
  </w:footnotePr>
  <w:compat>
    <w:balanceSingleByteDoubleByteWidth/>
    <w:adjustLineHeightInTable/>
    <w:useFELayout/>
    <w:compatSetting w:name="compatibilityMode" w:uri="http://schemas.microsoft.com/office/word" w:val="15"/>
    <w:ulTrailSpace/>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pPrDefault>
      <w:pPr>
        <w:autoSpaceDE w:val="1"/>
        <w:autoSpaceDN w:val="1"/>
        <w:widowControl/>
        <w:wordWrap/>
      </w:pPr>
    </w:pPrDefault>
    <w:rPrDefault>
      <w:rPr>
        <w:rFonts w:ascii="Times New Roman" w:eastAsia="Times New Roman" w:hAnsi="Times New Roman"/>
        <w:shd w:val="clear"/>
        <w:sz w:val="21"/>
        <w:szCs w:val="21"/>
        <w:w w:val="100"/>
      </w:rPr>
    </w:rPrDefault>
  </w:docDefaults>
  <w:style w:default="1" w:styleId="PO1" w:type="paragraph">
    <w:name w:val="Normal"/>
    <w:qFormat/>
    <w:uiPriority w:val="1"/>
    <w:pPr>
      <w:autoSpaceDE w:val="1"/>
      <w:autoSpaceDN w:val="1"/>
      <w:jc w:val="both"/>
      <w:widowControl/>
      <w:wordWrap/>
    </w:pPr>
    <w:rPr>
      <w:rFonts w:ascii="Calibri" w:eastAsia="Calibri" w:hAnsi="Calibri"/>
      <w:shd w:val="clear"/>
      <w:sz w:val="20"/>
      <w:szCs w:val="20"/>
      <w:w w:val="100"/>
    </w:rPr>
  </w:style>
  <w:style w:default="1" w:styleId="PO2" w:type="character">
    <w:name w:val="Default Paragraph Font"/>
    <w:uiPriority w:val="2"/>
    <w:semiHidden/>
  </w:style>
  <w:style w:default="1" w:styleId="PO3" w:type="table">
    <w:name w:val="Normal Table"/>
    <w:basedOn w:val="PO3"/>
    <w:uiPriority w:val="3"/>
    <w:tblPr>
      <w:tblCellMar>
        <w:bottom w:type="dxa" w:w="0"/>
        <w:left w:type="dxa" w:w="108"/>
        <w:right w:type="dxa" w:w="108"/>
        <w:top w:type="dxa" w:w="0"/>
      </w:tblCellMar>
      <w:tblInd w:type="dxa" w:w="0"/>
    </w:tblPr>
  </w:style>
  <w:style w:default="1" w:styleId="PO4" w:type="numbering">
    <w:name w:val="No List"/>
    <w:uiPriority w:val="4"/>
    <w:semiHidden/>
    <w:unhideWhenUsed/>
  </w:style>
  <w:style w:styleId="PO5" w:type="paragraph">
    <w:name w:val="No Spacing"/>
    <w:qFormat/>
    <w:uiPriority w:val="5"/>
    <w:pPr>
      <w:autoSpaceDE w:val="1"/>
      <w:autoSpaceDN w:val="1"/>
      <w:jc w:val="both"/>
      <w:widowControl/>
      <w:wordWrap/>
    </w:pPr>
    <w:rPr>
      <w:shd w:val="clear"/>
      <w:sz w:val="20"/>
      <w:szCs w:val="20"/>
      <w:w w:val="100"/>
    </w:rPr>
  </w:style>
  <w:style w:styleId="PO6" w:type="paragraph">
    <w:name w:val="Title"/>
    <w:basedOn w:val="PO1"/>
    <w:link w:val="PO161"/>
    <w:qFormat/>
    <w:uiPriority w:val="6"/>
    <w:pPr>
      <w:autoSpaceDE w:val="1"/>
      <w:autoSpaceDN w:val="1"/>
      <w:jc w:val="center"/>
      <w:widowControl/>
      <w:wordWrap/>
    </w:pPr>
    <w:rPr>
      <w:rFonts w:ascii="Times New Roman" w:eastAsia="Times New Roman" w:hAnsi="Times New Roman"/>
      <w:b/>
      <w:shd w:val="clear"/>
      <w:sz w:val="32"/>
      <w:szCs w:val="32"/>
      <w:w w:val="100"/>
    </w:rPr>
  </w:style>
  <w:style w:styleId="PO7" w:type="paragraph">
    <w:name w:val="heading 1"/>
    <w:basedOn w:val="PO1"/>
    <w:link w:val="PO152"/>
    <w:qFormat/>
    <w:uiPriority w:val="7"/>
    <w:pPr>
      <w:autoSpaceDE w:val="1"/>
      <w:autoSpaceDN w:val="1"/>
      <w:widowControl/>
      <w:wordWrap/>
    </w:pPr>
    <w:rPr>
      <w:rFonts w:ascii="Times New Roman" w:eastAsia="Times New Roman" w:hAnsi="Times New Roman"/>
      <w:shd w:val="clear"/>
      <w:sz w:val="28"/>
      <w:szCs w:val="28"/>
      <w:w w:val="100"/>
    </w:rPr>
  </w:style>
  <w:style w:styleId="PO8" w:type="paragraph">
    <w:name w:val="heading 2"/>
    <w:basedOn w:val="PO1"/>
    <w:link w:val="PO153"/>
    <w:qFormat/>
    <w:uiPriority w:val="8"/>
    <w:pPr>
      <w:autoSpaceDE w:val="1"/>
      <w:autoSpaceDN w:val="1"/>
      <w:widowControl/>
      <w:wordWrap/>
    </w:pPr>
    <w:rPr>
      <w:rFonts w:ascii="Times New Roman" w:eastAsia="Times New Roman" w:hAnsi="Times New Roman"/>
      <w:shd w:val="clear"/>
      <w:sz w:val="20"/>
      <w:szCs w:val="20"/>
      <w:w w:val="100"/>
    </w:rPr>
  </w:style>
  <w:style w:styleId="PO9" w:type="paragraph">
    <w:name w:val="heading 3"/>
    <w:basedOn w:val="PO1"/>
    <w:link w:val="PO154"/>
    <w:qFormat/>
    <w:uiPriority w:val="9"/>
    <w:pPr>
      <w:autoSpaceDE w:val="1"/>
      <w:autoSpaceDN w:val="1"/>
      <w:ind w:left="1000" w:hanging="400"/>
      <w:widowControl/>
      <w:wordWrap/>
    </w:pPr>
    <w:rPr>
      <w:rFonts w:ascii="Times New Roman" w:eastAsia="Times New Roman" w:hAnsi="Times New Roman"/>
      <w:shd w:val="clear"/>
      <w:sz w:val="20"/>
      <w:szCs w:val="20"/>
      <w:w w:val="100"/>
    </w:rPr>
  </w:style>
  <w:style w:styleId="PO10" w:type="paragraph">
    <w:name w:val="heading 4"/>
    <w:basedOn w:val="PO1"/>
    <w:link w:val="PO155"/>
    <w:qFormat/>
    <w:uiPriority w:val="10"/>
    <w:pPr>
      <w:autoSpaceDE w:val="1"/>
      <w:autoSpaceDN w:val="1"/>
      <w:ind w:left="1200" w:hanging="400"/>
      <w:widowControl/>
      <w:wordWrap/>
    </w:pPr>
    <w:rPr>
      <w:rFonts w:ascii="Times New Roman" w:eastAsia="Times New Roman" w:hAnsi="Times New Roman"/>
      <w:b/>
      <w:shd w:val="clear"/>
      <w:sz w:val="20"/>
      <w:szCs w:val="20"/>
      <w:w w:val="100"/>
    </w:rPr>
  </w:style>
  <w:style w:styleId="PO11" w:type="paragraph">
    <w:name w:val="heading 5"/>
    <w:basedOn w:val="PO1"/>
    <w:link w:val="PO156"/>
    <w:qFormat/>
    <w:uiPriority w:val="11"/>
    <w:pPr>
      <w:autoSpaceDE w:val="1"/>
      <w:autoSpaceDN w:val="1"/>
      <w:ind w:left="1400" w:hanging="400"/>
      <w:widowControl/>
      <w:wordWrap/>
    </w:pPr>
    <w:rPr>
      <w:rFonts w:ascii="Times New Roman" w:eastAsia="Times New Roman" w:hAnsi="Times New Roman"/>
      <w:shd w:val="clear"/>
      <w:sz w:val="20"/>
      <w:szCs w:val="20"/>
      <w:w w:val="100"/>
    </w:rPr>
  </w:style>
  <w:style w:styleId="PO12" w:type="paragraph">
    <w:name w:val="heading 6"/>
    <w:basedOn w:val="PO1"/>
    <w:link w:val="PO157"/>
    <w:qFormat/>
    <w:uiPriority w:val="12"/>
    <w:pPr>
      <w:autoSpaceDE w:val="1"/>
      <w:autoSpaceDN w:val="1"/>
      <w:ind w:left="1600" w:hanging="400"/>
      <w:widowControl/>
      <w:wordWrap/>
    </w:pPr>
    <w:rPr>
      <w:rFonts w:ascii="Times New Roman" w:eastAsia="Times New Roman" w:hAnsi="Times New Roman"/>
      <w:b/>
      <w:shd w:val="clear"/>
      <w:sz w:val="20"/>
      <w:szCs w:val="20"/>
      <w:w w:val="100"/>
    </w:rPr>
  </w:style>
  <w:style w:styleId="PO13" w:type="paragraph">
    <w:name w:val="heading 7"/>
    <w:basedOn w:val="PO1"/>
    <w:link w:val="PO158"/>
    <w:qFormat/>
    <w:uiPriority w:val="13"/>
    <w:pPr>
      <w:autoSpaceDE w:val="1"/>
      <w:autoSpaceDN w:val="1"/>
      <w:ind w:left="1800" w:hanging="400"/>
      <w:widowControl/>
      <w:wordWrap/>
    </w:pPr>
    <w:rPr>
      <w:rFonts w:ascii="Times New Roman" w:eastAsia="Times New Roman" w:hAnsi="Times New Roman"/>
      <w:shd w:val="clear"/>
      <w:sz w:val="20"/>
      <w:szCs w:val="20"/>
      <w:w w:val="100"/>
    </w:rPr>
  </w:style>
  <w:style w:styleId="PO14" w:type="paragraph">
    <w:name w:val="heading 8"/>
    <w:basedOn w:val="PO1"/>
    <w:link w:val="PO159"/>
    <w:qFormat/>
    <w:uiPriority w:val="14"/>
    <w:pPr>
      <w:autoSpaceDE w:val="1"/>
      <w:autoSpaceDN w:val="1"/>
      <w:ind w:left="2000" w:hanging="400"/>
      <w:widowControl/>
      <w:wordWrap/>
    </w:pPr>
    <w:rPr>
      <w:rFonts w:ascii="Times New Roman" w:eastAsia="Times New Roman" w:hAnsi="Times New Roman"/>
      <w:shd w:val="clear"/>
      <w:sz w:val="20"/>
      <w:szCs w:val="20"/>
      <w:w w:val="100"/>
    </w:rPr>
  </w:style>
  <w:style w:styleId="PO15" w:type="paragraph">
    <w:name w:val="heading 9"/>
    <w:basedOn w:val="PO1"/>
    <w:link w:val="PO160"/>
    <w:qFormat/>
    <w:uiPriority w:val="15"/>
    <w:pPr>
      <w:autoSpaceDE w:val="1"/>
      <w:autoSpaceDN w:val="1"/>
      <w:ind w:left="2200" w:hanging="400"/>
      <w:widowControl/>
      <w:wordWrap/>
    </w:pPr>
    <w:rPr>
      <w:rFonts w:ascii="Times New Roman" w:eastAsia="Times New Roman" w:hAnsi="Times New Roman"/>
      <w:shd w:val="clear"/>
      <w:sz w:val="20"/>
      <w:szCs w:val="20"/>
      <w:w w:val="100"/>
    </w:rPr>
  </w:style>
  <w:style w:styleId="PO16" w:type="paragraph">
    <w:name w:val="Subtitle"/>
    <w:basedOn w:val="PO1"/>
    <w:link w:val="PO162"/>
    <w:qFormat/>
    <w:uiPriority w:val="16"/>
    <w:pPr>
      <w:autoSpaceDE w:val="1"/>
      <w:autoSpaceDN w:val="1"/>
      <w:jc w:val="center"/>
      <w:widowControl/>
      <w:wordWrap/>
    </w:pPr>
    <w:rPr>
      <w:rFonts w:ascii="Times New Roman" w:eastAsia="Times New Roman" w:hAnsi="Times New Roman"/>
      <w:shd w:val="clear"/>
      <w:sz w:val="24"/>
      <w:szCs w:val="24"/>
      <w:w w:val="100"/>
    </w:rPr>
  </w:style>
  <w:style w:styleId="PO17" w:type="character">
    <w:name w:val="Subtle Emphasis"/>
    <w:basedOn w:val="PO2"/>
    <w:qFormat/>
    <w:uiPriority w:val="17"/>
    <w:rPr>
      <w:color w:val="404040"/>
      <w:i/>
      <w:shd w:val="clear" w:color="000000"/>
      <w:sz w:val="21"/>
      <w:szCs w:val="21"/>
      <w:w w:val="100"/>
    </w:rPr>
  </w:style>
  <w:style w:styleId="PO18" w:type="character">
    <w:name w:val="Emphasis"/>
    <w:basedOn w:val="PO2"/>
    <w:qFormat/>
    <w:uiPriority w:val="18"/>
    <w:rPr>
      <w:i/>
      <w:rFonts w:ascii="宋体" w:eastAsia="Times New Roman" w:hAnsi="宋体"/>
      <w:shd w:val="clear" w:color="000000"/>
      <w:sz w:val="21"/>
      <w:szCs w:val="21"/>
      <w:w w:val="100"/>
    </w:rPr>
  </w:style>
  <w:style w:styleId="PO19" w:type="character">
    <w:name w:val="Intense Emphasis"/>
    <w:basedOn w:val="PO2"/>
    <w:qFormat/>
    <w:uiPriority w:val="19"/>
    <w:rPr>
      <w:color w:val="5B9BD5"/>
      <w:i/>
      <w:shd w:val="clear" w:color="000000"/>
      <w:sz w:val="21"/>
      <w:szCs w:val="21"/>
      <w:w w:val="100"/>
    </w:rPr>
  </w:style>
  <w:style w:styleId="PO20" w:type="character">
    <w:name w:val="Strong"/>
    <w:basedOn w:val="PO2"/>
    <w:qFormat/>
    <w:uiPriority w:val="20"/>
    <w:rPr>
      <w:rFonts w:ascii="宋体" w:eastAsia="Times New Roman" w:hAnsi="宋体"/>
      <w:b/>
      <w:shd w:val="clear" w:color="000000"/>
      <w:sz w:val="21"/>
      <w:szCs w:val="21"/>
      <w:w w:val="100"/>
    </w:rPr>
  </w:style>
  <w:style w:styleId="PO21" w:type="paragraph">
    <w:name w:val="Quote"/>
    <w:basedOn w:val="PO1"/>
    <w:link w:val="PO163"/>
    <w:qFormat/>
    <w:uiPriority w:val="21"/>
    <w:pPr>
      <w:autoSpaceDE w:val="1"/>
      <w:autoSpaceDN w:val="1"/>
      <w:ind w:left="864" w:right="864" w:firstLine="0"/>
      <w:jc w:val="center"/>
      <w:widowControl/>
      <w:wordWrap/>
    </w:pPr>
    <w:rPr>
      <w:color w:val="404040"/>
      <w:i/>
      <w:rFonts w:ascii="Times New Roman" w:eastAsia="Times New Roman" w:hAnsi="Times New Roman"/>
      <w:shd w:val="clear"/>
      <w:sz w:val="20"/>
      <w:szCs w:val="20"/>
      <w:w w:val="100"/>
    </w:rPr>
  </w:style>
  <w:style w:styleId="PO22" w:type="paragraph">
    <w:name w:val="Intense Quote"/>
    <w:basedOn w:val="PO1"/>
    <w:link w:val="PO164"/>
    <w:qFormat/>
    <w:uiPriority w:val="22"/>
    <w:pPr>
      <w:autoSpaceDE w:val="1"/>
      <w:autoSpaceDN w:val="1"/>
      <w:ind w:left="950" w:right="950" w:firstLine="0"/>
      <w:jc w:val="center"/>
      <w:widowControl/>
      <w:wordWrap/>
    </w:pPr>
    <w:rPr>
      <w:color w:val="5B9BD5"/>
      <w:i/>
      <w:rFonts w:ascii="Times New Roman" w:eastAsia="Times New Roman" w:hAnsi="Times New Roman"/>
      <w:shd w:val="clear"/>
      <w:sz w:val="20"/>
      <w:szCs w:val="20"/>
      <w:w w:val="100"/>
    </w:rPr>
  </w:style>
  <w:style w:styleId="PO23" w:type="character">
    <w:name w:val="Subtle Reference"/>
    <w:basedOn w:val="PO2"/>
    <w:qFormat/>
    <w:uiPriority w:val="23"/>
    <w:rPr>
      <w:color w:val="5A5A5A"/>
      <w:shd w:val="clear" w:color="000000"/>
      <w:smallCaps/>
      <w:sz w:val="21"/>
      <w:szCs w:val="21"/>
      <w:w w:val="100"/>
    </w:rPr>
  </w:style>
  <w:style w:styleId="PO24" w:type="character">
    <w:name w:val="Intense Reference"/>
    <w:basedOn w:val="PO2"/>
    <w:qFormat/>
    <w:uiPriority w:val="24"/>
    <w:rPr>
      <w:color w:val="5B9BD5"/>
      <w:b/>
      <w:shd w:val="clear" w:color="000000"/>
      <w:smallCaps/>
      <w:sz w:val="21"/>
      <w:szCs w:val="21"/>
      <w:w w:val="100"/>
    </w:rPr>
  </w:style>
  <w:style w:styleId="PO25" w:type="character">
    <w:name w:val="Book Title"/>
    <w:basedOn w:val="PO2"/>
    <w:qFormat/>
    <w:uiPriority w:val="25"/>
    <w:rPr>
      <w:i/>
      <w:b/>
      <w:shd w:val="clear" w:color="000000"/>
      <w:sz w:val="21"/>
      <w:szCs w:val="21"/>
      <w:w w:val="100"/>
    </w:rPr>
  </w:style>
  <w:style w:styleId="PO26" w:type="paragraph">
    <w:name w:val="List Paragraph"/>
    <w:basedOn w:val="PO1"/>
    <w:qFormat/>
    <w:uiPriority w:val="26"/>
    <w:pPr>
      <w:autoSpaceDE w:val="1"/>
      <w:autoSpaceDN w:val="1"/>
      <w:ind w:left="850" w:firstLine="0"/>
      <w:widowControl/>
      <w:wordWrap/>
    </w:pPr>
    <w:rPr>
      <w:rFonts w:ascii="Times New Roman" w:eastAsia="Times New Roman" w:hAnsi="Times New Roman"/>
      <w:shd w:val="clear"/>
      <w:sz w:val="20"/>
      <w:szCs w:val="20"/>
      <w:w w:val="100"/>
    </w:rPr>
  </w:style>
  <w:style w:styleId="PO27" w:type="paragraph">
    <w:name w:val="TOC Heading"/>
    <w:basedOn w:val="PO7"/>
    <w:qFormat/>
    <w:uiPriority w:val="27"/>
    <w:pPr>
      <w:autoSpaceDE w:val="1"/>
      <w:autoSpaceDN w:val="1"/>
      <w:widowControl/>
      <w:wordWrap/>
    </w:pPr>
    <w:rPr>
      <w:color w:val="2E74B5"/>
      <w:shd w:val="clear"/>
      <w:sz w:val="32"/>
      <w:szCs w:val="32"/>
      <w:w w:val="100"/>
    </w:rPr>
  </w:style>
  <w:style w:styleId="PO28" w:type="paragraph">
    <w:name w:val="toc 1"/>
    <w:basedOn w:val="PO1"/>
    <w:next w:val="PO1"/>
    <w:uiPriority w:val="28"/>
    <w:rPr>
      <w:rFonts w:ascii="Times New Roman" w:eastAsia="Times New Roman" w:hAnsi="Times New Roman"/>
      <w:shd w:val="clear"/>
      <w:sz w:val="20"/>
      <w:szCs w:val="20"/>
      <w:w w:val="100"/>
    </w:rPr>
  </w:style>
  <w:style w:styleId="PO29" w:type="paragraph">
    <w:name w:val="toc 2"/>
    <w:basedOn w:val="PO1"/>
    <w:next w:val="PO1"/>
    <w:uiPriority w:val="29"/>
    <w:pPr>
      <w:autoSpaceDE w:val="1"/>
      <w:autoSpaceDN w:val="1"/>
      <w:ind w:left="420" w:firstLine="0"/>
      <w:widowControl/>
      <w:wordWrap/>
    </w:pPr>
    <w:rPr>
      <w:rFonts w:ascii="Times New Roman" w:eastAsia="Times New Roman" w:hAnsi="Times New Roman"/>
      <w:shd w:val="clear"/>
      <w:sz w:val="20"/>
      <w:szCs w:val="20"/>
      <w:w w:val="100"/>
    </w:rPr>
  </w:style>
  <w:style w:styleId="PO30" w:type="paragraph">
    <w:name w:val="toc 3"/>
    <w:basedOn w:val="PO1"/>
    <w:uiPriority w:val="30"/>
    <w:pPr>
      <w:autoSpaceDE w:val="1"/>
      <w:autoSpaceDN w:val="1"/>
      <w:ind w:left="850" w:firstLine="0"/>
      <w:widowControl/>
      <w:wordWrap/>
    </w:pPr>
    <w:rPr>
      <w:rFonts w:ascii="Times New Roman" w:eastAsia="Times New Roman" w:hAnsi="Times New Roman"/>
      <w:shd w:val="clear"/>
      <w:sz w:val="20"/>
      <w:szCs w:val="20"/>
      <w:w w:val="100"/>
    </w:rPr>
  </w:style>
  <w:style w:styleId="PO31" w:type="paragraph">
    <w:name w:val="toc 4"/>
    <w:basedOn w:val="PO1"/>
    <w:uiPriority w:val="31"/>
    <w:pPr>
      <w:autoSpaceDE w:val="1"/>
      <w:autoSpaceDN w:val="1"/>
      <w:ind w:left="1275" w:firstLine="0"/>
      <w:widowControl/>
      <w:wordWrap/>
    </w:pPr>
    <w:rPr>
      <w:rFonts w:ascii="Times New Roman" w:eastAsia="Times New Roman" w:hAnsi="Times New Roman"/>
      <w:shd w:val="clear"/>
      <w:sz w:val="20"/>
      <w:szCs w:val="20"/>
      <w:w w:val="100"/>
    </w:rPr>
  </w:style>
  <w:style w:styleId="PO32" w:type="paragraph">
    <w:name w:val="toc 5"/>
    <w:basedOn w:val="PO1"/>
    <w:uiPriority w:val="32"/>
    <w:pPr>
      <w:autoSpaceDE w:val="1"/>
      <w:autoSpaceDN w:val="1"/>
      <w:ind w:left="1700" w:firstLine="0"/>
      <w:widowControl/>
      <w:wordWrap/>
    </w:pPr>
    <w:rPr>
      <w:rFonts w:ascii="Times New Roman" w:eastAsia="Times New Roman" w:hAnsi="Times New Roman"/>
      <w:shd w:val="clear"/>
      <w:sz w:val="20"/>
      <w:szCs w:val="20"/>
      <w:w w:val="100"/>
    </w:rPr>
  </w:style>
  <w:style w:styleId="PO33" w:type="paragraph">
    <w:name w:val="toc 6"/>
    <w:basedOn w:val="PO1"/>
    <w:uiPriority w:val="33"/>
    <w:pPr>
      <w:autoSpaceDE w:val="1"/>
      <w:autoSpaceDN w:val="1"/>
      <w:ind w:left="2125" w:firstLine="0"/>
      <w:widowControl/>
      <w:wordWrap/>
    </w:pPr>
    <w:rPr>
      <w:rFonts w:ascii="Times New Roman" w:eastAsia="Times New Roman" w:hAnsi="Times New Roman"/>
      <w:shd w:val="clear"/>
      <w:sz w:val="20"/>
      <w:szCs w:val="20"/>
      <w:w w:val="100"/>
    </w:rPr>
  </w:style>
  <w:style w:styleId="PO34" w:type="paragraph">
    <w:name w:val="toc 7"/>
    <w:basedOn w:val="PO1"/>
    <w:uiPriority w:val="34"/>
    <w:pPr>
      <w:autoSpaceDE w:val="1"/>
      <w:autoSpaceDN w:val="1"/>
      <w:ind w:left="2550" w:firstLine="0"/>
      <w:widowControl/>
      <w:wordWrap/>
    </w:pPr>
    <w:rPr>
      <w:rFonts w:ascii="Times New Roman" w:eastAsia="Times New Roman" w:hAnsi="Times New Roman"/>
      <w:shd w:val="clear"/>
      <w:sz w:val="20"/>
      <w:szCs w:val="20"/>
      <w:w w:val="100"/>
    </w:rPr>
  </w:style>
  <w:style w:styleId="PO35" w:type="paragraph">
    <w:name w:val="toc 8"/>
    <w:basedOn w:val="PO1"/>
    <w:uiPriority w:val="35"/>
    <w:pPr>
      <w:autoSpaceDE w:val="1"/>
      <w:autoSpaceDN w:val="1"/>
      <w:ind w:left="2975" w:firstLine="0"/>
      <w:widowControl/>
      <w:wordWrap/>
    </w:pPr>
    <w:rPr>
      <w:rFonts w:ascii="Times New Roman" w:eastAsia="Times New Roman" w:hAnsi="Times New Roman"/>
      <w:shd w:val="clear"/>
      <w:sz w:val="20"/>
      <w:szCs w:val="20"/>
      <w:w w:val="100"/>
    </w:rPr>
  </w:style>
  <w:style w:styleId="PO36" w:type="paragraph">
    <w:name w:val="toc 9"/>
    <w:basedOn w:val="PO1"/>
    <w:uiPriority w:val="36"/>
    <w:pPr>
      <w:autoSpaceDE w:val="1"/>
      <w:autoSpaceDN w:val="1"/>
      <w:ind w:left="3400" w:firstLine="0"/>
      <w:widowControl/>
      <w:wordWrap/>
    </w:pPr>
    <w:rPr>
      <w:rFonts w:ascii="Times New Roman" w:eastAsia="Times New Roman" w:hAnsi="Times New Roman"/>
      <w:shd w:val="clear"/>
      <w:sz w:val="20"/>
      <w:szCs w:val="20"/>
      <w:w w:val="100"/>
    </w:rPr>
  </w:style>
  <w:style w:default="1" w:styleId="PO37" w:type="table">
    <w:name w:val="Normal Table"/>
    <w:basedOn w:val="PO3"/>
    <w:uiPriority w:val="37"/>
    <w:tblPr>
      <w:tblCellMar>
        <w:bottom w:type="dxa" w:w="0"/>
        <w:left w:type="dxa" w:w="108"/>
        <w:right w:type="dxa" w:w="108"/>
        <w:top w:type="dxa" w:w="0"/>
      </w:tblCellMar>
      <w:tblInd w:type="dxa" w:w="0"/>
    </w:tblPr>
  </w:style>
  <w:style w:customStyle="1" w:styleId="PO152" w:type="character">
    <w:name w:val="Heading 1 Char"/>
    <w:basedOn w:val="PO2"/>
    <w:link w:val="PO7"/>
    <w:uiPriority w:val="152"/>
    <w:rPr>
      <w:rFonts w:ascii="Calibri" w:eastAsia="Calibri" w:hAnsi="Calibri"/>
      <w:b/>
      <w:shd w:val="clear"/>
      <w:sz w:val="44"/>
      <w:szCs w:val="44"/>
      <w:w w:val="100"/>
    </w:rPr>
  </w:style>
  <w:style w:customStyle="1" w:styleId="PO153" w:type="character">
    <w:name w:val="Heading 2 Char"/>
    <w:basedOn w:val="PO2"/>
    <w:link w:val="PO8"/>
    <w:uiPriority w:val="153"/>
    <w:semiHidden/>
    <w:rPr>
      <w:rFonts w:ascii="Cambria" w:eastAsia="宋体" w:hAnsi="Cambria"/>
      <w:b/>
      <w:shd w:val="clear"/>
      <w:sz w:val="32"/>
      <w:szCs w:val="32"/>
      <w:w w:val="100"/>
    </w:rPr>
  </w:style>
  <w:style w:customStyle="1" w:styleId="PO154" w:type="character">
    <w:name w:val="Heading 3 Char"/>
    <w:basedOn w:val="PO2"/>
    <w:link w:val="PO9"/>
    <w:uiPriority w:val="154"/>
    <w:semiHidden/>
    <w:rPr>
      <w:rFonts w:ascii="Calibri" w:eastAsia="Calibri" w:hAnsi="Calibri"/>
      <w:b/>
      <w:shd w:val="clear"/>
      <w:sz w:val="32"/>
      <w:szCs w:val="32"/>
      <w:w w:val="100"/>
    </w:rPr>
  </w:style>
  <w:style w:customStyle="1" w:styleId="PO155" w:type="character">
    <w:name w:val="Heading 4 Char"/>
    <w:basedOn w:val="PO2"/>
    <w:link w:val="PO10"/>
    <w:uiPriority w:val="155"/>
    <w:semiHidden/>
    <w:rPr>
      <w:rFonts w:ascii="Cambria" w:eastAsia="宋体" w:hAnsi="Cambria"/>
      <w:b/>
      <w:shd w:val="clear"/>
      <w:sz w:val="28"/>
      <w:szCs w:val="28"/>
      <w:w w:val="100"/>
    </w:rPr>
  </w:style>
  <w:style w:customStyle="1" w:styleId="PO156" w:type="character">
    <w:name w:val="Heading 5 Char"/>
    <w:basedOn w:val="PO2"/>
    <w:link w:val="PO11"/>
    <w:uiPriority w:val="156"/>
    <w:semiHidden/>
    <w:rPr>
      <w:rFonts w:ascii="Calibri" w:eastAsia="Calibri" w:hAnsi="Calibri"/>
      <w:b/>
      <w:shd w:val="clear"/>
      <w:sz w:val="28"/>
      <w:szCs w:val="28"/>
      <w:w w:val="100"/>
    </w:rPr>
  </w:style>
  <w:style w:customStyle="1" w:styleId="PO157" w:type="character">
    <w:name w:val="Heading 6 Char"/>
    <w:basedOn w:val="PO2"/>
    <w:link w:val="PO12"/>
    <w:uiPriority w:val="157"/>
    <w:semiHidden/>
    <w:rPr>
      <w:rFonts w:ascii="Cambria" w:eastAsia="宋体" w:hAnsi="Cambria"/>
      <w:b/>
      <w:shd w:val="clear"/>
      <w:sz w:val="24"/>
      <w:szCs w:val="24"/>
      <w:w w:val="100"/>
    </w:rPr>
  </w:style>
  <w:style w:customStyle="1" w:styleId="PO158" w:type="character">
    <w:name w:val="Heading 7 Char"/>
    <w:basedOn w:val="PO2"/>
    <w:link w:val="PO13"/>
    <w:uiPriority w:val="158"/>
    <w:semiHidden/>
    <w:rPr>
      <w:rFonts w:ascii="Calibri" w:eastAsia="Calibri" w:hAnsi="Calibri"/>
      <w:b/>
      <w:shd w:val="clear"/>
      <w:sz w:val="24"/>
      <w:szCs w:val="24"/>
      <w:w w:val="100"/>
    </w:rPr>
  </w:style>
  <w:style w:customStyle="1" w:styleId="PO159" w:type="character">
    <w:name w:val="Heading 8 Char"/>
    <w:basedOn w:val="PO2"/>
    <w:link w:val="PO14"/>
    <w:uiPriority w:val="159"/>
    <w:semiHidden/>
    <w:rPr>
      <w:rFonts w:ascii="Cambria" w:eastAsia="宋体" w:hAnsi="Cambria"/>
      <w:shd w:val="clear"/>
      <w:sz w:val="24"/>
      <w:szCs w:val="24"/>
      <w:w w:val="100"/>
    </w:rPr>
  </w:style>
  <w:style w:customStyle="1" w:styleId="PO160" w:type="character">
    <w:name w:val="Heading 9 Char"/>
    <w:basedOn w:val="PO2"/>
    <w:link w:val="PO15"/>
    <w:uiPriority w:val="160"/>
    <w:semiHidden/>
    <w:rPr>
      <w:rFonts w:ascii="Cambria" w:eastAsia="宋体" w:hAnsi="Cambria"/>
      <w:shd w:val="clear"/>
      <w:sz w:val="20"/>
      <w:szCs w:val="20"/>
      <w:w w:val="100"/>
    </w:rPr>
  </w:style>
  <w:style w:customStyle="1" w:styleId="PO161" w:type="character">
    <w:name w:val="Title Char"/>
    <w:basedOn w:val="PO2"/>
    <w:link w:val="PO6"/>
    <w:uiPriority w:val="161"/>
    <w:rPr>
      <w:rFonts w:ascii="Cambria" w:eastAsia="Cambria" w:hAnsi="Cambria"/>
      <w:b/>
      <w:shd w:val="clear"/>
      <w:sz w:val="32"/>
      <w:szCs w:val="32"/>
      <w:w w:val="100"/>
    </w:rPr>
  </w:style>
  <w:style w:customStyle="1" w:styleId="PO162" w:type="character">
    <w:name w:val="Subtitle Char"/>
    <w:basedOn w:val="PO2"/>
    <w:link w:val="PO16"/>
    <w:uiPriority w:val="162"/>
    <w:rPr>
      <w:rFonts w:ascii="Cambria" w:eastAsia="Cambria" w:hAnsi="Cambria"/>
      <w:b/>
      <w:shd w:val="clear"/>
      <w:sz w:val="32"/>
      <w:szCs w:val="32"/>
      <w:w w:val="100"/>
    </w:rPr>
  </w:style>
  <w:style w:customStyle="1" w:styleId="PO163" w:type="character">
    <w:name w:val="Quote Char"/>
    <w:basedOn w:val="PO2"/>
    <w:link w:val="PO21"/>
    <w:uiPriority w:val="163"/>
    <w:rPr>
      <w:color w:val="000000" w:themeColor="text1"/>
      <w:i/>
      <w:rFonts w:ascii="Calibri" w:eastAsia="Calibri" w:hAnsi="Calibri"/>
      <w:shd w:val="clear"/>
      <w:sz w:val="20"/>
      <w:szCs w:val="20"/>
      <w:w w:val="100"/>
    </w:rPr>
  </w:style>
  <w:style w:customStyle="1" w:styleId="PO164" w:type="character">
    <w:name w:val="Intense Quote Char"/>
    <w:basedOn w:val="PO2"/>
    <w:link w:val="PO22"/>
    <w:uiPriority w:val="164"/>
    <w:rPr>
      <w:color w:val="4F81BD" w:themeColor="accent1"/>
      <w:i/>
      <w:rFonts w:ascii="Calibri" w:eastAsia="Calibri" w:hAnsi="Calibri"/>
      <w:b/>
      <w:shd w:val="clear"/>
      <w:sz w:val="20"/>
      <w:szCs w:val="20"/>
      <w:w w:val="100"/>
    </w:rPr>
  </w:style>
  <w:style w:styleId="PO165" w:type="paragraph">
    <w:name w:val="footer"/>
    <w:basedOn w:val="PO1"/>
    <w:link w:val="PO166"/>
    <w:uiPriority w:val="165"/>
    <w:pPr>
      <w:autoSpaceDE w:val="1"/>
      <w:autoSpaceDN w:val="1"/>
      <w:tabs>
        <w:tab w:val="center" w:pos="4153"/>
        <w:tab w:val="right" w:pos="8306"/>
      </w:tabs>
      <w:widowControl/>
      <w:wordWrap/>
    </w:pPr>
    <w:rPr>
      <w:rFonts w:ascii="Times New Roman" w:eastAsia="Times New Roman" w:hAnsi="Times New Roman"/>
      <w:shd w:val="clear"/>
      <w:sz w:val="18"/>
      <w:szCs w:val="18"/>
      <w:w w:val="100"/>
    </w:rPr>
  </w:style>
  <w:style w:customStyle="1" w:styleId="PO166" w:type="character">
    <w:name w:val="Footer Char"/>
    <w:basedOn w:val="PO2"/>
    <w:link w:val="PO165"/>
    <w:uiPriority w:val="166"/>
    <w:semiHidden/>
    <w:rPr>
      <w:rFonts w:ascii="Times New Roman" w:eastAsia="Times New Roman" w:hAnsi="Times New Roman"/>
      <w:shd w:val="clear" w:color="000000"/>
      <w:sz w:val="18"/>
      <w:szCs w:val="18"/>
      <w:w w:val="100"/>
    </w:rPr>
  </w:style>
  <w:style w:styleId="PO167" w:type="paragraph">
    <w:name w:val="header"/>
    <w:basedOn w:val="PO1"/>
    <w:link w:val="PO168"/>
    <w:uiPriority w:val="167"/>
    <w:pPr>
      <w:autoSpaceDE w:val="1"/>
      <w:autoSpaceDN w:val="1"/>
      <w:jc w:val="center"/>
      <w:tabs>
        <w:tab w:val="center" w:pos="4153"/>
        <w:tab w:val="right" w:pos="8306"/>
      </w:tabs>
      <w:widowControl/>
      <w:wordWrap/>
    </w:pPr>
    <w:rPr>
      <w:rFonts w:ascii="Times New Roman" w:eastAsia="Times New Roman" w:hAnsi="Times New Roman"/>
      <w:shd w:val="clear"/>
      <w:sz w:val="18"/>
      <w:szCs w:val="18"/>
      <w:w w:val="100"/>
    </w:rPr>
  </w:style>
  <w:style w:customStyle="1" w:styleId="PO168" w:type="character">
    <w:name w:val="Header Char"/>
    <w:basedOn w:val="PO2"/>
    <w:link w:val="PO167"/>
    <w:uiPriority w:val="168"/>
    <w:semiHidden/>
    <w:rPr>
      <w:rFonts w:ascii="Times New Roman" w:eastAsia="Times New Roman" w:hAnsi="Times New Roman"/>
      <w:shd w:val="clear" w:color="000000"/>
      <w:sz w:val="18"/>
      <w:szCs w:val="18"/>
      <w:w w:val="100"/>
    </w:rPr>
  </w:style>
  <w:style w:styleId="PO169" w:type="paragraph">
    <w:name w:val="footnote text"/>
    <w:basedOn w:val="PO1"/>
    <w:link w:val="PO170"/>
    <w:uiPriority w:val="169"/>
    <w:rPr>
      <w:shd w:val="clear"/>
      <w:sz w:val="18"/>
      <w:szCs w:val="18"/>
      <w:w w:val="100"/>
    </w:rPr>
  </w:style>
  <w:style w:customStyle="1" w:styleId="PO170" w:type="character">
    <w:name w:val="Footnote Text Char"/>
    <w:basedOn w:val="PO2"/>
    <w:link w:val="PO169"/>
    <w:uiPriority w:val="170"/>
    <w:semiHidden/>
    <w:rPr>
      <w:rFonts w:ascii="Calibri" w:eastAsia="Calibri" w:hAnsi="Calibri"/>
      <w:shd w:val="clear"/>
      <w:sz w:val="18"/>
      <w:szCs w:val="18"/>
      <w:w w:val="100"/>
    </w:rPr>
  </w:style>
  <w:style w:styleId="PO171" w:type="character">
    <w:name w:val="footnote reference"/>
    <w:basedOn w:val="PO2"/>
    <w:uiPriority w:val="171"/>
    <w:rPr>
      <w:rFonts w:ascii="宋体" w:eastAsia="Times New Roman" w:hAnsi="宋体"/>
      <w:shd w:val="clear" w:color="000000"/>
      <w:sz w:val="20"/>
      <w:szCs w:val="20"/>
      <w:vertAlign w:val="superscript"/>
      <w:w w:val="100"/>
    </w:rPr>
  </w:style>
  <w:style w:customStyle="1" w:styleId="PO172" w:type="paragraph">
    <w:name w:val="Char"/>
    <w:basedOn w:val="PO1"/>
    <w:uiPriority w:val="172"/>
    <w:rPr>
      <w:rFonts w:ascii="Times New Roman" w:eastAsia="Times New Roman" w:hAnsi="Times New Roman"/>
      <w:shd w:val="clear"/>
      <w:sz w:val="20"/>
      <w:szCs w:val="20"/>
      <w:w w:val="1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numbering" Target="numbering.xml"></Relationship><Relationship Id="rId6" Type="http://schemas.openxmlformats.org/officeDocument/2006/relationships/theme" Target="theme/theme1.xml"></Relationship><Relationship Id="rId7" Type="http://schemas.openxmlformats.org/officeDocument/2006/relationships/footnotes" Target="footnotes.xml"></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JisuOffice Write</Application>
  <AppVersion>12.000</AppVersion>
  <Characters>0</Characters>
  <CharactersWithSpaces>0</CharactersWithSpaces>
  <DocSecurity>0</DocSecurity>
  <HyperlinksChanged>false</HyperlinksChanged>
  <Lines>0</Lines>
  <LinksUpToDate>false</LinksUpToDate>
  <Pages>17</Pages>
  <Paragraphs>0</Paragraphs>
  <Words>890</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creator>guest</dc:creator>
  <cp:lastModifiedBy/>
  <dc:title>o</dc:title>
  <dcterms:modified xsi:type="dcterms:W3CDTF">2019-02-28T02:24:00Z</dcterms:modified>
</cp:coreProperties>
</file>