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FE6" w:rsidRDefault="00956FE6">
      <w:pPr>
        <w:widowControl/>
        <w:spacing w:after="0" w:line="240" w:lineRule="auto"/>
        <w:jc w:val="left"/>
        <w:rPr>
          <w:rFonts w:asciiTheme="minorEastAsia" w:eastAsiaTheme="minorEastAsia" w:hAnsiTheme="minorEastAsia"/>
          <w:b/>
          <w:sz w:val="72"/>
          <w:szCs w:val="72"/>
        </w:rPr>
      </w:pPr>
    </w:p>
    <w:p w:rsidR="00956FE6" w:rsidRDefault="00956FE6">
      <w:pPr>
        <w:widowControl/>
        <w:spacing w:after="0" w:line="240" w:lineRule="auto"/>
        <w:jc w:val="left"/>
        <w:rPr>
          <w:rFonts w:asciiTheme="minorEastAsia" w:eastAsiaTheme="minorEastAsia" w:hAnsiTheme="minorEastAsia"/>
          <w:b/>
          <w:sz w:val="72"/>
          <w:szCs w:val="72"/>
        </w:rPr>
      </w:pPr>
      <w:r>
        <w:rPr>
          <w:rFonts w:asciiTheme="minorEastAsia" w:eastAsiaTheme="minorEastAsia" w:hAnsiTheme="minorEastAsia"/>
          <w:b/>
          <w:sz w:val="72"/>
          <w:szCs w:val="72"/>
        </w:rPr>
        <w:pict>
          <v:shapetype id="_x0000_t202" coordsize="21600,21600" o:spt="202" path="m,l,21600r21600,l21600,xe">
            <v:stroke joinstyle="miter"/>
            <v:path gradientshapeok="t" o:connecttype="rect"/>
          </v:shapetype>
          <v:shape id="_x0000_s1110" type="#_x0000_t202" style="position:absolute;margin-left:-83.1pt;margin-top:523.3pt;width:596.2pt;height:166.25pt;z-index:2516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" filled="f" stroked="f" strokeweight=".5pt">
            <v:textbox>
              <w:txbxContent>
                <w:p w:rsidR="00E76549" w:rsidRDefault="00E76549">
                  <w:pPr>
                    <w:widowControl/>
                    <w:ind w:firstLineChars="1000" w:firstLine="4417"/>
                    <w:rPr>
                      <w:rFonts w:ascii="楷体" w:eastAsia="楷体" w:hAnsi="楷体" w:cs="楷体"/>
                      <w:b/>
                      <w:sz w:val="44"/>
                      <w:szCs w:val="44"/>
                    </w:rPr>
                  </w:pPr>
                  <w:r>
                    <w:rPr>
                      <w:rFonts w:ascii="楷体" w:eastAsia="楷体" w:hAnsi="楷体" w:cs="楷体" w:hint="eastAsia"/>
                      <w:b/>
                      <w:sz w:val="44"/>
                      <w:szCs w:val="44"/>
                    </w:rPr>
                    <w:t>（部门公章）</w:t>
                  </w:r>
                </w:p>
                <w:p w:rsidR="00E76549" w:rsidRDefault="00E76549">
                  <w:pPr>
                    <w:widowControl/>
                    <w:spacing w:line="1200" w:lineRule="exact"/>
                    <w:jc w:val="center"/>
                    <w:rPr>
                      <w:rFonts w:asciiTheme="minorEastAsia" w:eastAsiaTheme="minorEastAsia" w:hAnsi="宋体"/>
                      <w:color w:val="FDEFBE"/>
                      <w:sz w:val="96"/>
                      <w:szCs w:val="96"/>
                    </w:rPr>
                  </w:pPr>
                  <w:r>
                    <w:rPr>
                      <w:rFonts w:ascii="楷体" w:eastAsia="楷体" w:hAnsi="楷体" w:cs="楷体" w:hint="eastAsia"/>
                      <w:b/>
                      <w:sz w:val="44"/>
                      <w:szCs w:val="44"/>
                    </w:rPr>
                    <w:t>二〇一九年十月</w:t>
                  </w:r>
                </w:p>
                <w:p w:rsidR="00E76549" w:rsidRDefault="00E76549">
                  <w:pPr>
                    <w:rPr>
                      <w:color w:val="FDEFBE"/>
                      <w:sz w:val="96"/>
                      <w:szCs w:val="96"/>
                    </w:rPr>
                  </w:pPr>
                </w:p>
              </w:txbxContent>
            </v:textbox>
          </v:shape>
        </w:pict>
      </w:r>
      <w:r>
        <w:rPr>
          <w:rFonts w:asciiTheme="minorEastAsia" w:eastAsiaTheme="minorEastAsia" w:hAnsiTheme="minorEastAsia"/>
          <w:b/>
          <w:sz w:val="72"/>
          <w:szCs w:val="72"/>
        </w:rPr>
        <w:pict>
          <v:shape id="文本框 8" o:spid="_x0000_s1109" type="#_x0000_t202" style="position:absolute;margin-left:-83.1pt;margin-top:51.25pt;width:596.2pt;height:166.25pt;z-index:25167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" filled="f" stroked="f" strokeweight=".5pt">
            <v:textbox>
              <w:txbxContent>
                <w:p w:rsidR="00E76549" w:rsidRDefault="00E76549">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安平县市场监督管理局</w:t>
                  </w:r>
                </w:p>
                <w:p w:rsidR="00E76549" w:rsidRDefault="00E76549">
                  <w:pPr>
                    <w:widowControl/>
                    <w:spacing w:line="1200" w:lineRule="exact"/>
                    <w:jc w:val="center"/>
                    <w:rPr>
                      <w:color w:val="FDEFBE"/>
                      <w:sz w:val="96"/>
                      <w:szCs w:val="96"/>
                    </w:rPr>
                  </w:pPr>
                  <w:r>
                    <w:rPr>
                      <w:rFonts w:asciiTheme="minorEastAsia" w:eastAsiaTheme="minorEastAsia" w:hAnsi="宋体" w:hint="eastAsia"/>
                      <w:color w:val="FDEFBE"/>
                      <w:sz w:val="96"/>
                      <w:szCs w:val="96"/>
                    </w:rPr>
                    <w:t>2018年度部门决算</w:t>
                  </w:r>
                </w:p>
                <w:p w:rsidR="00E76549" w:rsidRDefault="00E76549">
                  <w:pPr>
                    <w:rPr>
                      <w:color w:val="FDEFBE"/>
                      <w:sz w:val="96"/>
                      <w:szCs w:val="96"/>
                    </w:rPr>
                  </w:pPr>
                </w:p>
              </w:txbxContent>
            </v:textbox>
          </v:shape>
        </w:pict>
      </w:r>
      <w:r w:rsidR="00E76549">
        <w:rPr>
          <w:rFonts w:asciiTheme="minorEastAsia" w:eastAsiaTheme="minorEastAsia" w:hAnsiTheme="minorEastAsia"/>
          <w:b/>
          <w:sz w:val="72"/>
          <w:szCs w:val="72"/>
        </w:rPr>
        <w:br w:type="page"/>
      </w:r>
      <w:r w:rsidR="00E76549">
        <w:rPr>
          <w:rFonts w:asciiTheme="minorEastAsia" w:eastAsiaTheme="minorEastAsia" w:hAnsiTheme="minorEastAsia" w:hint="eastAsia"/>
          <w:b/>
          <w:noProof/>
          <w:sz w:val="72"/>
          <w:szCs w:val="72"/>
        </w:rPr>
        <w:drawing>
          <wp:anchor distT="0" distB="0" distL="114300" distR="114300" simplePos="0" relativeHeight="251640832" behindDoc="1" locked="0" layoutInCell="1" allowOverlap="1">
            <wp:simplePos x="0" y="0"/>
            <wp:positionH relativeFrom="column">
              <wp:posOffset>-999490</wp:posOffset>
            </wp:positionH>
            <wp:positionV relativeFrom="paragraph">
              <wp:posOffset>-1915795</wp:posOffset>
            </wp:positionV>
            <wp:extent cx="7579360" cy="10802620"/>
            <wp:effectExtent l="19050" t="0" r="4385" b="0"/>
            <wp:wrapNone/>
            <wp:docPr id="8"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wc ga"/>
                    <pic:cNvPicPr>
                      <a:picLocks noChangeAspect="1"/>
                    </pic:cNvPicPr>
                  </pic:nvPicPr>
                  <pic:blipFill>
                    <a:blip r:embed="rId8" cstate="print"/>
                    <a:stretch>
                      <a:fillRect/>
                    </a:stretch>
                  </pic:blipFill>
                  <pic:spPr>
                    <a:xfrm>
                      <a:off x="0" y="0"/>
                      <a:ext cx="7577515" cy="10802679"/>
                    </a:xfrm>
                    <a:prstGeom prst="rect">
                      <a:avLst/>
                    </a:prstGeom>
                  </pic:spPr>
                </pic:pic>
              </a:graphicData>
            </a:graphic>
          </wp:anchor>
        </w:drawing>
      </w:r>
    </w:p>
    <w:p w:rsidR="00956FE6" w:rsidRDefault="00956FE6" w:rsidP="00E76549">
      <w:pPr>
        <w:spacing w:beforeLines="200" w:after="0" w:line="1000" w:lineRule="exact"/>
        <w:jc w:val="center"/>
        <w:rPr>
          <w:rFonts w:ascii="黑体" w:eastAsia="黑体"/>
          <w:sz w:val="48"/>
          <w:szCs w:val="48"/>
        </w:rPr>
      </w:pPr>
      <w:r w:rsidRPr="00956FE6">
        <w:rPr>
          <w:sz w:val="48"/>
          <w:szCs w:val="28"/>
        </w:rPr>
        <w:lastRenderedPageBreak/>
        <w:pict>
          <v:group id="_x0000_s1106" style="position:absolute;left:0;text-align:left;margin-left:-80.8pt;margin-top:39.95pt;width:250.05pt;height:46.7pt;z-index:251656192;mso-position-vertical-relative:page" coordorigin="4551,52615" coordsize="8546,1398203203"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allowoverlap="f">
            <v:rect id="矩形 13" o:spid="_x0000_s1026" style="position:absolute;left:4551;top:52615;width:8546;height:1175;v-text-anchor:middle"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fillcolor="#d9d9d9" stroked="f" strokeweight="2pt"/>
            <v:rect id="矩形 14" o:spid="_x0000_s1107" style="position:absolute;left:4577;top:52890;width:8324;height:1123;v-text-anchor:middle"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6"/>
                        <w:szCs w:val="36"/>
                      </w:rPr>
                    </w:pPr>
                    <w:r>
                      <w:rPr>
                        <w:rFonts w:ascii="楷体" w:eastAsia="楷体" w:hAnsi="楷体" w:cs="楷体" w:hint="eastAsia"/>
                        <w:b/>
                        <w:bCs/>
                        <w:color w:val="FDEFBE"/>
                        <w:kern w:val="0"/>
                        <w:sz w:val="36"/>
                        <w:szCs w:val="36"/>
                      </w:rPr>
                      <w:t>2018</w:t>
                    </w:r>
                    <w:r>
                      <w:rPr>
                        <w:rFonts w:ascii="楷体" w:eastAsia="楷体" w:hAnsi="楷体" w:cs="楷体" w:hint="eastAsia"/>
                        <w:b/>
                        <w:bCs/>
                        <w:color w:val="FDEFBE"/>
                        <w:kern w:val="0"/>
                        <w:sz w:val="36"/>
                        <w:szCs w:val="36"/>
                      </w:rPr>
                      <w:t>年度部门决算☞目 录</w:t>
                    </w:r>
                  </w:p>
                  <w:p w:rsidR="00E76549" w:rsidRDefault="00E76549">
                    <w:pPr>
                      <w:jc w:val="center"/>
                    </w:pPr>
                  </w:p>
                </w:txbxContent>
              </v:textbox>
            </v:rect>
            <w10:wrap anchory="page"/>
            <w10:anchorlock/>
          </v:group>
        </w:pict>
      </w:r>
      <w:r w:rsidR="00E76549">
        <w:rPr>
          <w:rFonts w:ascii="黑体" w:eastAsia="黑体" w:hint="eastAsia"/>
          <w:sz w:val="48"/>
          <w:szCs w:val="48"/>
        </w:rPr>
        <w:t>目    录</w:t>
      </w:r>
    </w:p>
    <w:p w:rsidR="00956FE6" w:rsidRDefault="00956FE6">
      <w:pPr>
        <w:widowControl/>
        <w:spacing w:line="580" w:lineRule="exact"/>
        <w:ind w:firstLineChars="200" w:firstLine="640"/>
        <w:rPr>
          <w:rFonts w:eastAsia="黑体"/>
          <w:sz w:val="32"/>
          <w:szCs w:val="32"/>
        </w:rPr>
      </w:pPr>
    </w:p>
    <w:p w:rsidR="00956FE6" w:rsidRDefault="00E76549">
      <w:pPr>
        <w:widowControl/>
        <w:spacing w:line="580" w:lineRule="exact"/>
        <w:ind w:firstLineChars="200" w:firstLine="640"/>
        <w:rPr>
          <w:rFonts w:eastAsia="仿宋_GB2312"/>
          <w:sz w:val="24"/>
          <w:szCs w:val="32"/>
        </w:rPr>
      </w:pPr>
      <w:r>
        <w:rPr>
          <w:rFonts w:eastAsia="黑体"/>
          <w:sz w:val="32"/>
          <w:szCs w:val="32"/>
        </w:rPr>
        <w:t>第一部分</w:t>
      </w:r>
      <w:r>
        <w:rPr>
          <w:rFonts w:eastAsia="黑体"/>
          <w:sz w:val="32"/>
          <w:szCs w:val="32"/>
        </w:rPr>
        <w:t xml:space="preserve">   </w:t>
      </w:r>
      <w:r>
        <w:rPr>
          <w:rFonts w:eastAsia="黑体"/>
          <w:sz w:val="32"/>
          <w:szCs w:val="32"/>
        </w:rPr>
        <w:t>部门概况</w:t>
      </w:r>
      <w:r>
        <w:rPr>
          <w:rFonts w:eastAsia="仿宋_GB2312" w:hint="eastAsia"/>
          <w:sz w:val="28"/>
          <w:szCs w:val="36"/>
        </w:rPr>
        <w:t xml:space="preserve"> </w:t>
      </w:r>
      <w:r>
        <w:rPr>
          <w:rFonts w:eastAsia="仿宋_GB2312" w:hint="eastAsia"/>
          <w:sz w:val="24"/>
          <w:szCs w:val="32"/>
        </w:rPr>
        <w:t xml:space="preserve"> </w:t>
      </w:r>
    </w:p>
    <w:p w:rsidR="00956FE6" w:rsidRDefault="00E76549" w:rsidP="00E76549">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956FE6" w:rsidRDefault="00E76549" w:rsidP="00E76549">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956FE6" w:rsidRDefault="00E76549">
      <w:pPr>
        <w:widowControl/>
        <w:spacing w:line="580" w:lineRule="exact"/>
        <w:ind w:firstLineChars="200" w:firstLine="640"/>
        <w:rPr>
          <w:rFonts w:eastAsia="仿宋_GB2312"/>
          <w:sz w:val="20"/>
          <w:szCs w:val="32"/>
        </w:rPr>
      </w:pPr>
      <w:r>
        <w:rPr>
          <w:rFonts w:eastAsia="黑体"/>
          <w:sz w:val="32"/>
          <w:szCs w:val="32"/>
        </w:rPr>
        <w:t>第二部分</w:t>
      </w:r>
      <w:r>
        <w:rPr>
          <w:rFonts w:eastAsia="黑体"/>
          <w:sz w:val="32"/>
          <w:szCs w:val="32"/>
        </w:rPr>
        <w:t xml:space="preserve">   201</w:t>
      </w:r>
      <w:r>
        <w:rPr>
          <w:rFonts w:eastAsia="黑体" w:hint="eastAsia"/>
          <w:sz w:val="32"/>
          <w:szCs w:val="32"/>
        </w:rPr>
        <w:t>8</w:t>
      </w:r>
      <w:r>
        <w:rPr>
          <w:rFonts w:eastAsia="黑体"/>
          <w:sz w:val="32"/>
          <w:szCs w:val="32"/>
        </w:rPr>
        <w:t>年度部门决算报表</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二、收入决算表</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三、支出决算表</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956FE6" w:rsidRDefault="00E76549">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956FE6" w:rsidRDefault="00E76549">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w:t>
      </w:r>
      <w:r>
        <w:rPr>
          <w:rFonts w:eastAsia="仿宋_GB2312" w:hint="eastAsia"/>
          <w:sz w:val="32"/>
          <w:szCs w:val="32"/>
        </w:rPr>
        <w:t>财政拨款</w:t>
      </w:r>
      <w:r>
        <w:rPr>
          <w:rFonts w:eastAsia="仿宋_GB2312"/>
          <w:sz w:val="32"/>
          <w:szCs w:val="32"/>
        </w:rPr>
        <w:t>支出决算表</w:t>
      </w:r>
    </w:p>
    <w:p w:rsidR="00956FE6" w:rsidRDefault="00E76549">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rsidR="00956FE6" w:rsidRDefault="00956FE6">
      <w:pPr>
        <w:widowControl/>
        <w:spacing w:line="580" w:lineRule="exact"/>
        <w:ind w:firstLineChars="200" w:firstLine="640"/>
        <w:rPr>
          <w:rFonts w:eastAsia="黑体"/>
          <w:sz w:val="32"/>
          <w:szCs w:val="32"/>
        </w:rPr>
      </w:pPr>
    </w:p>
    <w:p w:rsidR="00956FE6" w:rsidRDefault="00E76549">
      <w:pPr>
        <w:widowControl/>
        <w:spacing w:line="580" w:lineRule="exact"/>
        <w:ind w:firstLineChars="200" w:firstLine="640"/>
        <w:rPr>
          <w:rFonts w:eastAsia="黑体"/>
          <w:sz w:val="32"/>
          <w:szCs w:val="32"/>
        </w:rPr>
      </w:pPr>
      <w:r>
        <w:rPr>
          <w:rFonts w:eastAsia="黑体"/>
          <w:sz w:val="32"/>
          <w:szCs w:val="32"/>
        </w:rPr>
        <w:lastRenderedPageBreak/>
        <w:t>第三部分</w:t>
      </w:r>
      <w:r>
        <w:rPr>
          <w:rFonts w:eastAsia="黑体"/>
          <w:sz w:val="32"/>
          <w:szCs w:val="32"/>
        </w:rPr>
        <w:t xml:space="preserve">  </w:t>
      </w:r>
      <w:r>
        <w:rPr>
          <w:rFonts w:eastAsia="黑体" w:hint="eastAsia"/>
          <w:sz w:val="32"/>
          <w:szCs w:val="32"/>
        </w:rPr>
        <w:t>安平县食品和市场监督管理</w:t>
      </w:r>
      <w:r>
        <w:rPr>
          <w:rFonts w:eastAsia="黑体"/>
          <w:sz w:val="32"/>
          <w:szCs w:val="32"/>
        </w:rPr>
        <w:t>部门</w:t>
      </w:r>
      <w:r>
        <w:rPr>
          <w:rFonts w:eastAsia="黑体"/>
          <w:sz w:val="32"/>
          <w:szCs w:val="32"/>
        </w:rPr>
        <w:t>201</w:t>
      </w:r>
      <w:r>
        <w:rPr>
          <w:rFonts w:eastAsia="黑体" w:hint="eastAsia"/>
          <w:sz w:val="32"/>
          <w:szCs w:val="32"/>
        </w:rPr>
        <w:t>8</w:t>
      </w:r>
      <w:r>
        <w:rPr>
          <w:rFonts w:eastAsia="黑体"/>
          <w:sz w:val="32"/>
          <w:szCs w:val="32"/>
        </w:rPr>
        <w:t>年部门决算情况说明</w:t>
      </w:r>
      <w:r w:rsidR="00956FE6" w:rsidRPr="00956FE6">
        <w:rPr>
          <w:sz w:val="44"/>
        </w:rPr>
        <w:pict>
          <v:group id="_x0000_s1103" style="position:absolute;left:0;text-align:left;margin-left:-80.8pt;margin-top:38.95pt;width:222.8pt;height:46.7pt;z-index:251655168;mso-position-horizontal-relative:text;mso-position-vertical-relative:page" coordorigin="4551,52615" coordsize="8546,1398203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v:rect id="矩形 13" o:spid="_x0000_s1105" style="position:absolute;left:4551;top:52615;width:8546;height:1175;v-text-anchor:middle"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fillcolor="#d9d9d9" stroked="f" strokeweight="2pt"/>
            <v:rect id="矩形 14" o:spid="_x0000_s1104" style="position:absolute;left:4577;top:52890;width:8324;height:1123;v-text-anchor:middle"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年度部门决算☞目 录</w:t>
                    </w:r>
                  </w:p>
                  <w:p w:rsidR="00E76549" w:rsidRDefault="00E76549">
                    <w:pPr>
                      <w:jc w:val="center"/>
                    </w:pPr>
                  </w:p>
                </w:txbxContent>
              </v:textbox>
            </v:rect>
            <w10:wrap anchory="page"/>
            <w10:anchorlock/>
          </v:group>
        </w:pic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956FE6" w:rsidRDefault="00E76549">
      <w:pPr>
        <w:widowControl/>
        <w:spacing w:line="580" w:lineRule="exact"/>
        <w:ind w:left="640" w:firstLineChars="200" w:firstLine="640"/>
        <w:rPr>
          <w:rFonts w:eastAsia="仿宋_GB2312"/>
          <w:sz w:val="32"/>
          <w:szCs w:val="32"/>
        </w:rPr>
      </w:pPr>
      <w:r>
        <w:rPr>
          <w:rFonts w:eastAsia="仿宋_GB2312"/>
          <w:sz w:val="32"/>
          <w:szCs w:val="32"/>
        </w:rPr>
        <w:t>四、财政拨款收入支出决算情况说明</w:t>
      </w:r>
    </w:p>
    <w:p w:rsidR="00956FE6" w:rsidRDefault="00E76549">
      <w:pPr>
        <w:widowControl/>
        <w:spacing w:line="580" w:lineRule="exact"/>
        <w:ind w:left="640" w:firstLineChars="200" w:firstLine="640"/>
        <w:rPr>
          <w:rFonts w:eastAsia="仿宋_GB2312"/>
          <w:sz w:val="32"/>
          <w:szCs w:val="32"/>
        </w:rPr>
      </w:pPr>
      <w:r>
        <w:rPr>
          <w:rFonts w:eastAsia="仿宋_GB2312" w:hint="eastAsia"/>
          <w:sz w:val="32"/>
          <w:szCs w:val="32"/>
        </w:rPr>
        <w:t>五、一般公共预算财政拨款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956FE6" w:rsidRDefault="00E76549">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956FE6" w:rsidRDefault="00E76549">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956FE6" w:rsidRDefault="00E76549">
      <w:pPr>
        <w:widowControl/>
        <w:spacing w:line="580" w:lineRule="exact"/>
        <w:ind w:firstLineChars="200" w:firstLine="640"/>
        <w:rPr>
          <w:rFonts w:eastAsia="黑体"/>
          <w:sz w:val="32"/>
          <w:szCs w:val="32"/>
        </w:rPr>
      </w:pPr>
      <w:r>
        <w:rPr>
          <w:rFonts w:eastAsia="黑体"/>
          <w:sz w:val="32"/>
          <w:szCs w:val="32"/>
        </w:rPr>
        <w:t>第四部分</w:t>
      </w:r>
      <w:r>
        <w:rPr>
          <w:rFonts w:eastAsia="黑体"/>
          <w:sz w:val="32"/>
          <w:szCs w:val="32"/>
        </w:rPr>
        <w:t xml:space="preserve">  </w:t>
      </w:r>
      <w:r>
        <w:rPr>
          <w:rFonts w:eastAsia="黑体"/>
          <w:sz w:val="32"/>
          <w:szCs w:val="32"/>
        </w:rPr>
        <w:t>名词解释</w:t>
      </w:r>
    </w:p>
    <w:p w:rsidR="00956FE6" w:rsidRDefault="00956FE6">
      <w:pPr>
        <w:widowControl/>
        <w:spacing w:line="580" w:lineRule="exact"/>
        <w:ind w:firstLineChars="200" w:firstLine="640"/>
        <w:rPr>
          <w:rFonts w:eastAsia="黑体"/>
          <w:sz w:val="32"/>
          <w:szCs w:val="32"/>
        </w:rPr>
      </w:pPr>
    </w:p>
    <w:p w:rsidR="00956FE6" w:rsidRDefault="00956FE6">
      <w:pPr>
        <w:widowControl/>
        <w:spacing w:line="580" w:lineRule="exact"/>
        <w:ind w:firstLineChars="200" w:firstLine="640"/>
        <w:rPr>
          <w:rFonts w:eastAsia="黑体"/>
          <w:sz w:val="32"/>
          <w:szCs w:val="32"/>
        </w:rPr>
      </w:pPr>
    </w:p>
    <w:p w:rsidR="00956FE6" w:rsidRDefault="00956FE6">
      <w:pPr>
        <w:widowControl/>
        <w:spacing w:line="580" w:lineRule="exact"/>
        <w:ind w:firstLineChars="200" w:firstLine="640"/>
        <w:rPr>
          <w:rFonts w:eastAsia="黑体"/>
          <w:sz w:val="32"/>
          <w:szCs w:val="32"/>
        </w:rPr>
      </w:pPr>
    </w:p>
    <w:p w:rsidR="00956FE6" w:rsidRDefault="00956FE6">
      <w:pPr>
        <w:widowControl/>
        <w:spacing w:line="580" w:lineRule="exact"/>
        <w:ind w:firstLineChars="200" w:firstLine="640"/>
        <w:rPr>
          <w:rFonts w:eastAsia="黑体"/>
          <w:sz w:val="32"/>
          <w:szCs w:val="32"/>
        </w:rPr>
      </w:pPr>
    </w:p>
    <w:p w:rsidR="00956FE6" w:rsidRDefault="00E76549">
      <w:r>
        <w:br w:type="page"/>
      </w:r>
    </w:p>
    <w:p w:rsidR="00956FE6" w:rsidRDefault="00E76549">
      <w:r>
        <w:rPr>
          <w:rFonts w:ascii="宋体" w:hAnsi="宋体" w:cs="ArialUnicodeMS" w:hint="eastAsia"/>
          <w:noProof/>
          <w:color w:val="000000"/>
          <w:kern w:val="0"/>
        </w:rPr>
        <w:lastRenderedPageBreak/>
        <w:drawing>
          <wp:anchor distT="0" distB="0" distL="114300" distR="114300" simplePos="0" relativeHeight="2516346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9" cstate="print"/>
                    <a:stretch>
                      <a:fillRect/>
                    </a:stretch>
                  </pic:blipFill>
                  <pic:spPr>
                    <a:xfrm>
                      <a:off x="0" y="0"/>
                      <a:ext cx="7585710" cy="10727055"/>
                    </a:xfrm>
                    <a:prstGeom prst="rect">
                      <a:avLst/>
                    </a:prstGeom>
                  </pic:spPr>
                </pic:pic>
              </a:graphicData>
            </a:graphic>
          </wp:anchor>
        </w:drawing>
      </w:r>
      <w:r w:rsidR="00956FE6" w:rsidRPr="00956FE6">
        <w:rPr>
          <w:sz w:val="72"/>
        </w:rPr>
        <w:pict>
          <v:shape id="_x0000_s1102" type="#_x0000_t202" style="position:absolute;left:0;text-align:left;margin-left:-97.3pt;margin-top:259.1pt;width:613.65pt;height:81.7pt;z-index:251653120;mso-position-horizontal-relative:text;mso-position-vertical-relative:text"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filled="f" stroked="f" strokeweight=".5pt">
            <v:textbox>
              <w:txbxContent>
                <w:p w:rsidR="00E76549" w:rsidRDefault="00E76549">
                  <w:pPr>
                    <w:widowControl/>
                    <w:jc w:val="center"/>
                    <w:rPr>
                      <w:color w:val="FDEFBE"/>
                      <w:sz w:val="96"/>
                      <w:szCs w:val="96"/>
                    </w:rPr>
                  </w:pPr>
                  <w:r>
                    <w:rPr>
                      <w:rFonts w:asciiTheme="minorEastAsia" w:eastAsiaTheme="minorEastAsia" w:hAnsi="宋体" w:hint="eastAsia"/>
                      <w:color w:val="FDEFBE"/>
                      <w:sz w:val="96"/>
                      <w:szCs w:val="96"/>
                    </w:rPr>
                    <w:t>第一部分  部门概况</w:t>
                  </w:r>
                </w:p>
              </w:txbxContent>
            </v:textbox>
          </v:shape>
        </w:pict>
      </w:r>
    </w:p>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 w:rsidR="00956FE6" w:rsidRDefault="00956FE6">
      <w:pPr>
        <w:pStyle w:val="10"/>
        <w:spacing w:before="0" w:after="0" w:line="600" w:lineRule="exact"/>
        <w:jc w:val="left"/>
        <w:rPr>
          <w:rFonts w:ascii="黑体" w:eastAsia="黑体" w:hAnsiTheme="minorHAnsi" w:cs="黑体"/>
          <w:b w:val="0"/>
          <w:bCs w:val="0"/>
          <w:kern w:val="0"/>
          <w:sz w:val="32"/>
          <w:szCs w:val="32"/>
        </w:rPr>
      </w:pPr>
      <w:r w:rsidRPr="00956FE6">
        <w:rPr>
          <w:b w:val="0"/>
          <w:bCs w:val="0"/>
          <w:sz w:val="32"/>
          <w:szCs w:val="32"/>
        </w:rPr>
        <w:lastRenderedPageBreak/>
        <w:pict>
          <v:group id="_x0000_s1099" style="position:absolute;margin-left:-80.8pt;margin-top:39.5pt;width:245.25pt;height:46.7pt;z-index:251646976;mso-position-vertical-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v:rect id="_x0000_s1101" style="position:absolute;left:4551;top:52615;width:8546;height:1175;v-text-anchor:middle"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fillcolor="#d9d9d9" stroked="f" strokeweight="2pt"/>
            <v:rect id="_x0000_s1100" style="position:absolute;left:4577;top:52890;width:8324;height:1123;v-text-anchor:middle"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年度部门决算☞部门概况</w:t>
                    </w:r>
                  </w:p>
                  <w:p w:rsidR="00E76549" w:rsidRDefault="00E76549">
                    <w:pPr>
                      <w:jc w:val="center"/>
                    </w:pPr>
                  </w:p>
                </w:txbxContent>
              </v:textbox>
            </v:rect>
            <w10:wrap anchory="page"/>
            <w10:anchorlock/>
          </v:group>
        </w:pict>
      </w:r>
      <w:r w:rsidR="00E76549">
        <w:rPr>
          <w:rFonts w:ascii="黑体" w:eastAsia="黑体" w:hAnsiTheme="minorHAnsi" w:cs="黑体" w:hint="eastAsia"/>
          <w:b w:val="0"/>
          <w:bCs w:val="0"/>
          <w:kern w:val="0"/>
          <w:sz w:val="32"/>
          <w:szCs w:val="32"/>
        </w:rPr>
        <w:t>一、部门职责</w:t>
      </w:r>
    </w:p>
    <w:p w:rsidR="00956FE6" w:rsidRDefault="00E76549">
      <w:pPr>
        <w:widowControl/>
        <w:spacing w:after="0" w:line="528" w:lineRule="exact"/>
        <w:ind w:firstLineChars="200" w:firstLine="640"/>
        <w:rPr>
          <w:rFonts w:ascii="宋体" w:hAnsi="宋体" w:cs="宋体"/>
          <w:sz w:val="32"/>
          <w:szCs w:val="32"/>
        </w:rPr>
      </w:pPr>
      <w:r>
        <w:rPr>
          <w:rFonts w:ascii="宋体" w:hAnsi="宋体" w:cs="宋体" w:hint="eastAsia"/>
          <w:sz w:val="32"/>
          <w:szCs w:val="32"/>
        </w:rPr>
        <w:t>依法负责全县相关市场监督管理、行政执法，贯彻执行国家和省、市有关行政管理等方面的法律、法规、规章和方针政策。拟定我县有关食品和市场监督管理等方面的规划、规定和措施。负责依法规范和维护各类市场经营秩序，监督管理市场交易行为和网络商品交易及有关服务的行为。</w:t>
      </w:r>
    </w:p>
    <w:p w:rsidR="00956FE6" w:rsidRDefault="00E76549">
      <w:pPr>
        <w:widowControl/>
        <w:spacing w:after="0" w:line="528" w:lineRule="exact"/>
        <w:ind w:firstLineChars="200" w:firstLine="640"/>
        <w:rPr>
          <w:rFonts w:ascii="宋体" w:hAnsi="宋体" w:cs="宋体"/>
          <w:sz w:val="32"/>
          <w:szCs w:val="32"/>
        </w:rPr>
      </w:pPr>
      <w:r>
        <w:rPr>
          <w:rFonts w:ascii="宋体" w:hAnsi="宋体" w:cs="宋体" w:hint="eastAsia"/>
          <w:sz w:val="32"/>
          <w:szCs w:val="32"/>
        </w:rPr>
        <w:t>组织开展有关服务领域消费维权工作，依法查处假冒伪劣等违法行为，指导消费者咨询，申诉、举报受理、处理和网络体系建设等工作，保护消费者、经营者合法权益。</w:t>
      </w:r>
    </w:p>
    <w:p w:rsidR="00956FE6" w:rsidRDefault="00E76549">
      <w:pPr>
        <w:widowControl/>
        <w:spacing w:after="0" w:line="528" w:lineRule="exact"/>
        <w:ind w:firstLineChars="200" w:firstLine="640"/>
        <w:rPr>
          <w:rFonts w:ascii="宋体" w:hAnsi="宋体" w:cs="宋体"/>
          <w:sz w:val="32"/>
          <w:szCs w:val="32"/>
        </w:rPr>
      </w:pPr>
      <w:r>
        <w:rPr>
          <w:rFonts w:ascii="宋体" w:hAnsi="宋体" w:cs="宋体" w:hint="eastAsia"/>
          <w:sz w:val="32"/>
          <w:szCs w:val="32"/>
        </w:rPr>
        <w:t>负责全县产品质量安全，打击假冒伪劣并处理质量纠纷，开展区域产品质量整治，组织实施全县质量发展规划和质量奖励制度，推进实施名牌战略，实施标准化管理，承担实验室及检查机构资质认定和特种设备管理等工作；</w:t>
      </w:r>
    </w:p>
    <w:p w:rsidR="00956FE6" w:rsidRDefault="00E76549">
      <w:pPr>
        <w:widowControl/>
        <w:spacing w:after="0" w:line="528" w:lineRule="exact"/>
        <w:ind w:firstLineChars="200" w:firstLine="640"/>
        <w:rPr>
          <w:rFonts w:ascii="宋体" w:hAnsi="宋体" w:cs="宋体"/>
          <w:sz w:val="32"/>
          <w:szCs w:val="32"/>
        </w:rPr>
      </w:pPr>
      <w:r>
        <w:rPr>
          <w:rFonts w:ascii="宋体" w:hAnsi="宋体" w:cs="宋体" w:hint="eastAsia"/>
          <w:sz w:val="32"/>
          <w:szCs w:val="32"/>
        </w:rPr>
        <w:t>负责全县食品药品监管工作，围绕“药安食真、美丽安平”大力推动监管体系网络、科学监管动态化，确保人民群众食品安全。</w:t>
      </w:r>
      <w:r>
        <w:rPr>
          <w:rFonts w:ascii="宋体" w:hAnsi="宋体" w:cs="宋体"/>
          <w:noProof/>
          <w:sz w:val="32"/>
          <w:szCs w:val="32"/>
        </w:rPr>
        <w:drawing>
          <wp:anchor distT="0" distB="0" distL="114300" distR="114300" simplePos="0" relativeHeight="251639808" behindDoc="1" locked="0" layoutInCell="0" allowOverlap="1">
            <wp:simplePos x="0" y="0"/>
            <wp:positionH relativeFrom="page">
              <wp:posOffset>6658610</wp:posOffset>
            </wp:positionH>
            <wp:positionV relativeFrom="page">
              <wp:posOffset>872559215</wp:posOffset>
            </wp:positionV>
            <wp:extent cx="7537450" cy="2218690"/>
            <wp:effectExtent l="0" t="0" r="6350" b="10160"/>
            <wp:wrapNone/>
            <wp:docPr id="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1"/>
                    <pic:cNvPicPr>
                      <a:picLocks noChangeAspect="1"/>
                    </pic:cNvPicPr>
                  </pic:nvPicPr>
                  <pic:blipFill>
                    <a:blip r:embed="rId10" cstate="print">
                      <a:clrChange>
                        <a:clrFrom>
                          <a:srgbClr val="FFFFFF"/>
                        </a:clrFrom>
                        <a:clrTo>
                          <a:srgbClr val="FFFFFF">
                            <a:alpha val="0"/>
                          </a:srgbClr>
                        </a:clrTo>
                      </a:clrChange>
                      <a:lum/>
                    </a:blip>
                    <a:stretch>
                      <a:fillRect/>
                    </a:stretch>
                  </pic:blipFill>
                  <pic:spPr>
                    <a:xfrm>
                      <a:off x="0" y="0"/>
                      <a:ext cx="7537450" cy="2218690"/>
                    </a:xfrm>
                    <a:prstGeom prst="rect">
                      <a:avLst/>
                    </a:prstGeom>
                    <a:noFill/>
                    <a:ln>
                      <a:noFill/>
                    </a:ln>
                  </pic:spPr>
                </pic:pic>
              </a:graphicData>
            </a:graphic>
          </wp:anchor>
        </w:drawing>
      </w:r>
    </w:p>
    <w:p w:rsidR="00956FE6" w:rsidRDefault="00E76549">
      <w:pPr>
        <w:pStyle w:val="10"/>
        <w:spacing w:before="0" w:after="0" w:line="600" w:lineRule="exact"/>
        <w:jc w:val="left"/>
        <w:rPr>
          <w:rFonts w:ascii="黑体" w:eastAsia="黑体" w:hAnsiTheme="minorHAnsi" w:cs="黑体"/>
          <w:b w:val="0"/>
          <w:bCs w:val="0"/>
          <w:kern w:val="0"/>
          <w:sz w:val="32"/>
          <w:szCs w:val="32"/>
        </w:rPr>
      </w:pPr>
      <w:r>
        <w:rPr>
          <w:rFonts w:ascii="黑体" w:eastAsia="黑体" w:hAnsiTheme="minorHAnsi" w:cs="黑体" w:hint="eastAsia"/>
          <w:b w:val="0"/>
          <w:bCs w:val="0"/>
          <w:kern w:val="0"/>
          <w:sz w:val="32"/>
          <w:szCs w:val="32"/>
        </w:rPr>
        <w:t>二、机构设置</w:t>
      </w:r>
    </w:p>
    <w:p w:rsidR="00956FE6" w:rsidRDefault="00E76549">
      <w:pPr>
        <w:spacing w:after="0" w:line="560" w:lineRule="exact"/>
        <w:rPr>
          <w:rFonts w:ascii="仿宋_GB2312" w:eastAsia="仿宋_GB2312" w:hAnsiTheme="minorHAnsi" w:cs="ArialUnicodeMS"/>
          <w:kern w:val="0"/>
          <w:sz w:val="32"/>
          <w:szCs w:val="32"/>
        </w:rPr>
      </w:pPr>
      <w:r>
        <w:rPr>
          <w:rFonts w:ascii="仿宋_GB2312" w:eastAsia="仿宋_GB2312" w:hAnsiTheme="minorHAnsi" w:cs="ArialUnicodeMS" w:hint="eastAsia"/>
          <w:kern w:val="0"/>
          <w:sz w:val="32"/>
          <w:szCs w:val="32"/>
        </w:rPr>
        <w:t>从决算编报单位构成看，纳入2018 年度本部门决算汇编范围的独立核算单位（以下简称“单位”）共 1个，具体情况如下：</w:t>
      </w:r>
    </w:p>
    <w:tbl>
      <w:tblPr>
        <w:tblStyle w:val="a9"/>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956FE6">
        <w:trPr>
          <w:trHeight w:val="811"/>
          <w:jc w:val="center"/>
        </w:trPr>
        <w:tc>
          <w:tcPr>
            <w:tcW w:w="985" w:type="dxa"/>
            <w:vAlign w:val="center"/>
          </w:tcPr>
          <w:p w:rsidR="00956FE6" w:rsidRDefault="00E76549">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序号</w:t>
            </w:r>
          </w:p>
        </w:tc>
        <w:tc>
          <w:tcPr>
            <w:tcW w:w="3485" w:type="dxa"/>
            <w:vAlign w:val="center"/>
          </w:tcPr>
          <w:p w:rsidR="00956FE6" w:rsidRDefault="00E76549">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单位名称</w:t>
            </w:r>
          </w:p>
        </w:tc>
        <w:tc>
          <w:tcPr>
            <w:tcW w:w="2445" w:type="dxa"/>
            <w:vAlign w:val="center"/>
          </w:tcPr>
          <w:p w:rsidR="00956FE6" w:rsidRDefault="00E76549">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单位基本性质</w:t>
            </w:r>
          </w:p>
        </w:tc>
        <w:tc>
          <w:tcPr>
            <w:tcW w:w="2665" w:type="dxa"/>
            <w:vAlign w:val="center"/>
          </w:tcPr>
          <w:p w:rsidR="00956FE6" w:rsidRDefault="00E76549">
            <w:pPr>
              <w:spacing w:after="0" w:line="560" w:lineRule="exact"/>
              <w:jc w:val="center"/>
              <w:rPr>
                <w:rFonts w:ascii="仿宋_GB2312" w:eastAsia="仿宋_GB2312" w:hAnsiTheme="minorHAnsi" w:cs="ArialUnicodeMS"/>
                <w:b/>
                <w:bCs/>
                <w:kern w:val="0"/>
                <w:sz w:val="28"/>
                <w:szCs w:val="28"/>
              </w:rPr>
            </w:pPr>
            <w:r>
              <w:rPr>
                <w:rFonts w:ascii="仿宋_GB2312" w:eastAsia="仿宋_GB2312" w:hAnsiTheme="minorHAnsi" w:cs="ArialUnicodeMS" w:hint="eastAsia"/>
                <w:b/>
                <w:bCs/>
                <w:kern w:val="0"/>
                <w:sz w:val="28"/>
                <w:szCs w:val="28"/>
              </w:rPr>
              <w:t>经费形式</w:t>
            </w:r>
          </w:p>
        </w:tc>
      </w:tr>
      <w:tr w:rsidR="00956FE6">
        <w:trPr>
          <w:trHeight w:val="596"/>
          <w:jc w:val="center"/>
        </w:trPr>
        <w:tc>
          <w:tcPr>
            <w:tcW w:w="985" w:type="dxa"/>
          </w:tcPr>
          <w:p w:rsidR="00956FE6" w:rsidRDefault="00E76549">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1</w:t>
            </w:r>
          </w:p>
        </w:tc>
        <w:tc>
          <w:tcPr>
            <w:tcW w:w="3485" w:type="dxa"/>
          </w:tcPr>
          <w:p w:rsidR="00956FE6" w:rsidRDefault="00E76549">
            <w:pPr>
              <w:spacing w:after="0" w:line="560" w:lineRule="exact"/>
              <w:rPr>
                <w:rFonts w:ascii="仿宋_GB2312" w:eastAsia="仿宋_GB2312" w:hAnsiTheme="minorHAnsi" w:cs="ArialUnicodeMS"/>
                <w:kern w:val="0"/>
                <w:sz w:val="28"/>
                <w:szCs w:val="28"/>
              </w:rPr>
            </w:pPr>
            <w:r>
              <w:rPr>
                <w:rFonts w:ascii="仿宋_GB2312" w:eastAsia="仿宋_GB2312" w:hAnsiTheme="minorHAnsi" w:cs="ArialUnicodeMS" w:hint="eastAsia"/>
                <w:kern w:val="0"/>
                <w:sz w:val="18"/>
                <w:szCs w:val="18"/>
              </w:rPr>
              <w:t>安平县食品和市场监督管理局(本级)</w:t>
            </w:r>
          </w:p>
        </w:tc>
        <w:tc>
          <w:tcPr>
            <w:tcW w:w="2445" w:type="dxa"/>
          </w:tcPr>
          <w:p w:rsidR="00956FE6" w:rsidRDefault="00E76549">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行政单位</w:t>
            </w:r>
          </w:p>
        </w:tc>
        <w:tc>
          <w:tcPr>
            <w:tcW w:w="2665" w:type="dxa"/>
          </w:tcPr>
          <w:p w:rsidR="00956FE6" w:rsidRDefault="00E76549">
            <w:pPr>
              <w:spacing w:after="0" w:line="560" w:lineRule="exact"/>
              <w:jc w:val="center"/>
              <w:rPr>
                <w:rFonts w:ascii="仿宋_GB2312" w:eastAsia="仿宋_GB2312" w:hAnsiTheme="minorHAnsi" w:cs="ArialUnicodeMS"/>
                <w:kern w:val="0"/>
                <w:sz w:val="28"/>
                <w:szCs w:val="28"/>
              </w:rPr>
            </w:pPr>
            <w:r>
              <w:rPr>
                <w:rFonts w:ascii="仿宋_GB2312" w:eastAsia="仿宋_GB2312" w:hAnsiTheme="minorHAnsi" w:cs="ArialUnicodeMS" w:hint="eastAsia"/>
                <w:kern w:val="0"/>
                <w:sz w:val="28"/>
                <w:szCs w:val="28"/>
              </w:rPr>
              <w:t>财政拨款</w:t>
            </w:r>
          </w:p>
        </w:tc>
      </w:tr>
    </w:tbl>
    <w:p w:rsidR="00956FE6" w:rsidRDefault="00956FE6">
      <w:pPr>
        <w:widowControl/>
        <w:spacing w:line="580" w:lineRule="exact"/>
        <w:ind w:firstLineChars="200" w:firstLine="643"/>
        <w:jc w:val="center"/>
        <w:rPr>
          <w:rFonts w:ascii="仿宋" w:eastAsia="仿宋" w:hAnsi="仿宋" w:cs="仿宋"/>
          <w:b/>
          <w:bCs/>
          <w:sz w:val="32"/>
          <w:szCs w:val="32"/>
        </w:rPr>
      </w:pPr>
    </w:p>
    <w:p w:rsidR="00956FE6" w:rsidRDefault="00E76549">
      <w:pPr>
        <w:widowControl/>
        <w:spacing w:line="580" w:lineRule="exact"/>
        <w:ind w:firstLineChars="200" w:firstLine="643"/>
        <w:jc w:val="center"/>
        <w:rPr>
          <w:rFonts w:ascii="仿宋" w:eastAsia="仿宋" w:hAnsi="仿宋" w:cs="仿宋"/>
          <w:b/>
          <w:bCs/>
          <w:sz w:val="32"/>
          <w:szCs w:val="32"/>
        </w:rPr>
      </w:pPr>
      <w:r>
        <w:rPr>
          <w:rFonts w:ascii="仿宋" w:eastAsia="仿宋" w:hAnsi="仿宋" w:cs="仿宋" w:hint="eastAsia"/>
          <w:b/>
          <w:bCs/>
          <w:sz w:val="32"/>
          <w:szCs w:val="32"/>
        </w:rPr>
        <w:lastRenderedPageBreak/>
        <w:t>部门机构设置情况</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3225"/>
        <w:gridCol w:w="2265"/>
        <w:gridCol w:w="2265"/>
      </w:tblGrid>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序号</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单位名称</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单位性质</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经费形式</w:t>
            </w:r>
          </w:p>
        </w:tc>
      </w:tr>
      <w:tr w:rsidR="00956FE6">
        <w:trPr>
          <w:trHeight w:val="597"/>
        </w:trPr>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1</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办公室</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rPr>
          <w:trHeight w:val="1060"/>
        </w:trPr>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2</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综合执法股（法规股）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3</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综合协调股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4</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食品流通生产和餐饮安全监管股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5</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网络和广告监管股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6</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药品化妆品监管股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7</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医疗器械监管股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8</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产品质量和特种设备安全监管股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9</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知识产权质量发展与标准化股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10</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计量与认证认可股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11</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消费者权益保护股</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r w:rsidR="00956FE6">
        <w:tc>
          <w:tcPr>
            <w:tcW w:w="130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12</w:t>
            </w:r>
          </w:p>
        </w:tc>
        <w:tc>
          <w:tcPr>
            <w:tcW w:w="322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机关直属党委（监察室）</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行政单位</w:t>
            </w:r>
          </w:p>
        </w:tc>
        <w:tc>
          <w:tcPr>
            <w:tcW w:w="2265" w:type="dxa"/>
          </w:tcPr>
          <w:p w:rsidR="00956FE6" w:rsidRDefault="00E76549">
            <w:pPr>
              <w:widowControl/>
              <w:spacing w:line="580" w:lineRule="exact"/>
              <w:jc w:val="center"/>
              <w:rPr>
                <w:rFonts w:ascii="宋体" w:hAnsi="宋体" w:cs="宋体"/>
                <w:sz w:val="21"/>
                <w:szCs w:val="21"/>
              </w:rPr>
            </w:pPr>
            <w:r>
              <w:rPr>
                <w:rFonts w:ascii="宋体" w:hAnsi="宋体" w:cs="宋体" w:hint="eastAsia"/>
                <w:sz w:val="21"/>
                <w:szCs w:val="21"/>
              </w:rPr>
              <w:t>财政拨款</w:t>
            </w:r>
          </w:p>
        </w:tc>
      </w:tr>
    </w:tbl>
    <w:p w:rsidR="00956FE6" w:rsidRDefault="00956FE6">
      <w:pPr>
        <w:spacing w:after="0" w:line="560" w:lineRule="exact"/>
        <w:rPr>
          <w:rFonts w:ascii="仿宋_GB2312" w:eastAsia="仿宋_GB2312" w:hAnsiTheme="minorHAnsi" w:cs="ArialUnicodeMS"/>
          <w:kern w:val="0"/>
          <w:sz w:val="32"/>
          <w:szCs w:val="32"/>
        </w:rPr>
      </w:pPr>
    </w:p>
    <w:p w:rsidR="00956FE6" w:rsidRDefault="00956FE6">
      <w:pPr>
        <w:widowControl/>
        <w:spacing w:line="560" w:lineRule="exact"/>
        <w:jc w:val="center"/>
        <w:rPr>
          <w:rFonts w:ascii="黑体" w:eastAsia="黑体" w:hAnsiTheme="minorHAnsi" w:cs="MS-UIGothic,Bold"/>
          <w:bCs/>
          <w:kern w:val="0"/>
          <w:sz w:val="52"/>
          <w:szCs w:val="52"/>
        </w:rPr>
      </w:pPr>
    </w:p>
    <w:p w:rsidR="00956FE6" w:rsidRDefault="00956FE6">
      <w:pPr>
        <w:widowControl/>
        <w:spacing w:line="560" w:lineRule="exact"/>
        <w:jc w:val="center"/>
        <w:rPr>
          <w:rFonts w:ascii="黑体" w:eastAsia="黑体" w:hAnsiTheme="minorHAnsi" w:cs="MS-UIGothic,Bold"/>
          <w:bCs/>
          <w:kern w:val="0"/>
          <w:sz w:val="52"/>
          <w:szCs w:val="52"/>
        </w:rPr>
      </w:pPr>
    </w:p>
    <w:p w:rsidR="00956FE6" w:rsidRDefault="00956FE6">
      <w:pPr>
        <w:widowControl/>
        <w:spacing w:line="560" w:lineRule="exact"/>
        <w:jc w:val="center"/>
        <w:rPr>
          <w:rFonts w:ascii="黑体" w:eastAsia="黑体" w:hAnsiTheme="minorHAnsi" w:cs="MS-UIGothic,Bold"/>
          <w:bCs/>
          <w:kern w:val="0"/>
          <w:sz w:val="52"/>
          <w:szCs w:val="52"/>
        </w:rPr>
        <w:sectPr w:rsidR="00956FE6">
          <w:pgSz w:w="11906" w:h="16838"/>
          <w:pgMar w:top="2098" w:right="1474" w:bottom="1984" w:left="1588" w:header="851" w:footer="992" w:gutter="0"/>
          <w:cols w:space="0"/>
          <w:docGrid w:type="lines" w:linePitch="312"/>
        </w:sectPr>
      </w:pPr>
    </w:p>
    <w:p w:rsidR="00956FE6" w:rsidRDefault="00E76549">
      <w:pPr>
        <w:widowControl/>
        <w:spacing w:line="560" w:lineRule="exact"/>
        <w:jc w:val="center"/>
        <w:rPr>
          <w:rFonts w:ascii="黑体" w:eastAsia="黑体" w:hAnsiTheme="minorHAnsi" w:cs="MS-UIGothic,Bold"/>
          <w:bCs/>
          <w:kern w:val="0"/>
          <w:sz w:val="52"/>
          <w:szCs w:val="52"/>
        </w:rPr>
      </w:pPr>
      <w:r>
        <w:rPr>
          <w:rFonts w:ascii="宋体" w:hAnsi="宋体" w:cs="ArialUnicodeMS" w:hint="eastAsia"/>
          <w:noProof/>
          <w:color w:val="000000"/>
          <w:kern w:val="0"/>
        </w:rPr>
        <w:lastRenderedPageBreak/>
        <w:drawing>
          <wp:anchor distT="0" distB="0" distL="114300" distR="114300" simplePos="0" relativeHeight="2516357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9" cstate="print"/>
                    <a:stretch>
                      <a:fillRect/>
                    </a:stretch>
                  </pic:blipFill>
                  <pic:spPr>
                    <a:xfrm>
                      <a:off x="0" y="0"/>
                      <a:ext cx="7571105" cy="10680065"/>
                    </a:xfrm>
                    <a:prstGeom prst="rect">
                      <a:avLst/>
                    </a:prstGeom>
                  </pic:spPr>
                </pic:pic>
              </a:graphicData>
            </a:graphic>
          </wp:anchor>
        </w:drawing>
      </w:r>
    </w:p>
    <w:p w:rsidR="00956FE6" w:rsidRDefault="00956FE6">
      <w:pPr>
        <w:widowControl/>
        <w:spacing w:line="560" w:lineRule="exact"/>
        <w:jc w:val="center"/>
        <w:rPr>
          <w:rFonts w:ascii="黑体" w:eastAsia="黑体" w:hAnsiTheme="minorHAnsi" w:cs="MS-UIGothic,Bold"/>
          <w:bCs/>
          <w:kern w:val="0"/>
          <w:sz w:val="52"/>
          <w:szCs w:val="52"/>
        </w:rPr>
      </w:pPr>
    </w:p>
    <w:p w:rsidR="00956FE6" w:rsidRDefault="00956FE6">
      <w:pPr>
        <w:rPr>
          <w:rFonts w:ascii="宋体" w:hAnsi="宋体" w:cs="ArialUnicodeMS"/>
          <w:color w:val="000000"/>
          <w:kern w:val="0"/>
        </w:rPr>
      </w:pPr>
    </w:p>
    <w:p w:rsidR="00956FE6" w:rsidRDefault="00956FE6">
      <w:pPr>
        <w:rPr>
          <w:rFonts w:ascii="宋体" w:hAnsi="宋体" w:cs="ArialUnicodeMS"/>
          <w:color w:val="000000"/>
          <w:kern w:val="0"/>
        </w:rPr>
        <w:sectPr w:rsidR="00956FE6">
          <w:pgSz w:w="11906" w:h="16838"/>
          <w:pgMar w:top="2098" w:right="1474" w:bottom="1984" w:left="1588" w:header="851" w:footer="992" w:gutter="0"/>
          <w:cols w:space="0"/>
          <w:docGrid w:type="lines" w:linePitch="312"/>
        </w:sectPr>
      </w:pPr>
      <w:r w:rsidRPr="00956FE6">
        <w:rPr>
          <w:sz w:val="72"/>
        </w:rPr>
        <w:pict>
          <v:shape id="_x0000_s1098" type="#_x0000_t202" style="position:absolute;left:0;text-align:left;margin-left:-74.2pt;margin-top:120.3pt;width:596.2pt;height:159.1pt;z-index:2516480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filled="f" stroked="f" strokeweight=".5pt">
            <v:textbox>
              <w:txbxContent>
                <w:p w:rsidR="00E76549" w:rsidRDefault="00E76549">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第二部分</w:t>
                  </w:r>
                </w:p>
                <w:p w:rsidR="00E76549" w:rsidRDefault="00E76549">
                  <w:pPr>
                    <w:widowControl/>
                    <w:spacing w:line="1200" w:lineRule="exact"/>
                    <w:jc w:val="center"/>
                    <w:rPr>
                      <w:color w:val="FDEFBE"/>
                      <w:sz w:val="96"/>
                      <w:szCs w:val="96"/>
                    </w:rPr>
                  </w:pPr>
                  <w:r>
                    <w:rPr>
                      <w:rFonts w:asciiTheme="minorEastAsia" w:eastAsiaTheme="minorEastAsia" w:hAnsi="宋体" w:hint="eastAsia"/>
                      <w:color w:val="FDEFBE"/>
                      <w:sz w:val="96"/>
                      <w:szCs w:val="96"/>
                    </w:rPr>
                    <w:t>2018</w:t>
                  </w:r>
                  <w:r>
                    <w:rPr>
                      <w:rFonts w:asciiTheme="minorEastAsia" w:eastAsiaTheme="minorEastAsia" w:hAnsi="宋体" w:hint="eastAsia"/>
                      <w:color w:val="FDEFBE"/>
                      <w:sz w:val="96"/>
                      <w:szCs w:val="96"/>
                    </w:rPr>
                    <w:t>年度部门决算报表</w:t>
                  </w:r>
                </w:p>
              </w:txbxContent>
            </v:textbox>
          </v:shape>
        </w:pict>
      </w:r>
    </w:p>
    <w:tbl>
      <w:tblPr>
        <w:tblW w:w="9300" w:type="dxa"/>
        <w:jc w:val="center"/>
        <w:tblLayout w:type="fixed"/>
        <w:tblCellMar>
          <w:left w:w="0" w:type="dxa"/>
          <w:right w:w="0" w:type="dxa"/>
        </w:tblCellMar>
        <w:tblLook w:val="04A0"/>
      </w:tblPr>
      <w:tblGrid>
        <w:gridCol w:w="2700"/>
        <w:gridCol w:w="567"/>
        <w:gridCol w:w="1336"/>
        <w:gridCol w:w="2700"/>
        <w:gridCol w:w="567"/>
        <w:gridCol w:w="1430"/>
      </w:tblGrid>
      <w:tr w:rsidR="00956FE6">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440" w:lineRule="exact"/>
              <w:jc w:val="center"/>
              <w:textAlignment w:val="center"/>
              <w:rPr>
                <w:rFonts w:ascii="黑体" w:eastAsia="黑体" w:hAnsi="宋体" w:cs="黑体"/>
                <w:color w:val="000000"/>
                <w:sz w:val="40"/>
                <w:szCs w:val="40"/>
              </w:rPr>
            </w:pPr>
            <w:r w:rsidRPr="00956FE6">
              <w:rPr>
                <w:sz w:val="44"/>
              </w:rPr>
              <w:lastRenderedPageBreak/>
              <w:pict>
                <v:group id="_x0000_s1095" style="position:absolute;left:0;text-align:left;margin-left:-70.25pt;margin-top:-81.85pt;width:243.2pt;height:41.2pt;z-index:251657216;mso-position-vertical-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v:rect id="矩形 13" o:spid="_x0000_s1097" style="position:absolute;left:4551;top:52615;width:8546;height:1175;v-text-anchor:middle"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fillcolor="#d9d9d9" stroked="f" strokeweight="2pt"/>
                  <v:rect id="矩形 14" o:spid="_x0000_s1096" style="position:absolute;left:4577;top:52890;width:8324;height:1123;v-text-anchor:middle"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sidR="00E76549">
              <w:rPr>
                <w:rFonts w:ascii="黑体" w:eastAsia="黑体" w:hAnsi="宋体" w:cs="黑体" w:hint="eastAsia"/>
                <w:color w:val="000000"/>
                <w:kern w:val="0"/>
                <w:sz w:val="40"/>
                <w:szCs w:val="40"/>
              </w:rPr>
              <w:t>收入支出决算总表</w:t>
            </w:r>
          </w:p>
        </w:tc>
      </w:tr>
      <w:tr w:rsidR="00956FE6">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公开01表</w:t>
            </w:r>
          </w:p>
        </w:tc>
      </w:tr>
      <w:tr w:rsidR="00956FE6">
        <w:trPr>
          <w:trHeight w:val="418"/>
          <w:jc w:val="center"/>
        </w:trPr>
        <w:tc>
          <w:tcPr>
            <w:tcW w:w="2700" w:type="dxa"/>
            <w:tcBorders>
              <w:top w:val="nil"/>
              <w:left w:val="nil"/>
              <w:bottom w:val="nil"/>
              <w:right w:val="nil"/>
            </w:tcBorders>
            <w:shd w:val="clear" w:color="auto" w:fill="auto"/>
            <w:tcMar>
              <w:top w:w="15" w:type="dxa"/>
              <w:left w:w="15" w:type="dxa"/>
              <w:right w:w="15" w:type="dxa"/>
            </w:tcMar>
            <w:vAlign w:val="center"/>
          </w:tcPr>
          <w:p w:rsidR="00956FE6" w:rsidRDefault="00E76549">
            <w:pPr>
              <w:widowControl/>
              <w:spacing w:after="0" w:line="24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r>
              <w:rPr>
                <w:rFonts w:ascii="宋体" w:hAnsi="宋体" w:cs="宋体" w:hint="eastAsia"/>
                <w:color w:val="000000"/>
                <w:kern w:val="0"/>
                <w:sz w:val="16"/>
                <w:szCs w:val="16"/>
              </w:rPr>
              <w:t>安平县食品和市场监督管理局</w:t>
            </w:r>
          </w:p>
        </w:tc>
        <w:tc>
          <w:tcPr>
            <w:tcW w:w="567"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exac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956FE6">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支出</w:t>
            </w:r>
          </w:p>
        </w:tc>
      </w:tr>
      <w:tr w:rsidR="00956FE6">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行次</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金额</w:t>
            </w:r>
          </w:p>
        </w:tc>
      </w:tr>
      <w:tr w:rsidR="00956FE6">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exact"/>
              <w:jc w:val="center"/>
              <w:rPr>
                <w:rFonts w:ascii="宋体" w:hAnsi="宋体" w:cs="宋体"/>
                <w:color w:val="000000"/>
                <w:sz w:val="20"/>
                <w:szCs w:val="20"/>
              </w:rPr>
            </w:pP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exact"/>
              <w:jc w:val="center"/>
              <w:rPr>
                <w:rFonts w:ascii="宋体" w:hAnsi="宋体" w:cs="宋体"/>
                <w:color w:val="000000"/>
                <w:sz w:val="20"/>
                <w:szCs w:val="20"/>
              </w:rPr>
            </w:pP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956FE6">
        <w:trPr>
          <w:trHeight w:val="36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2287.83</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2013.23</w:t>
            </w: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二、外交支出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三、事业收入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三、国防支出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四、经营收入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五、教育支出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六、其他收入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1.85</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319.53</w:t>
            </w: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00" w:lineRule="exact"/>
              <w:jc w:val="left"/>
              <w:rPr>
                <w:rFonts w:ascii="宋体" w:hAnsi="宋体" w:cs="宋体"/>
                <w:color w:val="000000"/>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2289.68</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2332.76</w:t>
            </w:r>
          </w:p>
        </w:tc>
      </w:tr>
      <w:tr w:rsidR="00956FE6">
        <w:trPr>
          <w:trHeight w:val="38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结余分配</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00" w:lineRule="exact"/>
              <w:jc w:val="right"/>
              <w:rPr>
                <w:rFonts w:ascii="宋体" w:hAnsi="宋体" w:cs="宋体"/>
                <w:color w:val="000000"/>
                <w:sz w:val="20"/>
                <w:szCs w:val="20"/>
              </w:rPr>
            </w:pP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79.73</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 w:val="20"/>
                <w:szCs w:val="20"/>
              </w:rPr>
            </w:pPr>
            <w:r>
              <w:rPr>
                <w:rFonts w:ascii="宋体" w:hAnsi="宋体" w:cs="宋体" w:hint="eastAsia"/>
                <w:color w:val="000000"/>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36.65</w:t>
            </w:r>
          </w:p>
        </w:tc>
      </w:tr>
      <w:tr w:rsidR="00956FE6">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18"/>
                <w:szCs w:val="18"/>
              </w:rPr>
            </w:pPr>
            <w:r>
              <w:rPr>
                <w:rFonts w:ascii="宋体" w:hAnsi="宋体" w:cs="宋体" w:hint="eastAsia"/>
                <w:color w:val="000000"/>
                <w:sz w:val="18"/>
                <w:szCs w:val="18"/>
              </w:rPr>
              <w:t>2369.41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rPr>
              <w:t>54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00" w:lineRule="exact"/>
              <w:jc w:val="right"/>
              <w:rPr>
                <w:rFonts w:ascii="宋体" w:hAnsi="宋体" w:cs="宋体"/>
                <w:color w:val="000000"/>
                <w:sz w:val="20"/>
                <w:szCs w:val="20"/>
              </w:rPr>
            </w:pPr>
            <w:r>
              <w:rPr>
                <w:rFonts w:ascii="宋体" w:hAnsi="宋体" w:cs="宋体" w:hint="eastAsia"/>
                <w:color w:val="000000"/>
                <w:sz w:val="20"/>
                <w:szCs w:val="20"/>
              </w:rPr>
              <w:t>2369.41</w:t>
            </w:r>
          </w:p>
        </w:tc>
      </w:tr>
      <w:tr w:rsidR="00956FE6">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956FE6" w:rsidRDefault="00E76549">
            <w:pPr>
              <w:widowControl/>
              <w:spacing w:after="0" w:line="200" w:lineRule="exact"/>
              <w:jc w:val="left"/>
              <w:textAlignment w:val="center"/>
              <w:rPr>
                <w:rFonts w:ascii="宋体" w:hAnsi="宋体" w:cs="宋体"/>
                <w:color w:val="000000"/>
                <w:szCs w:val="21"/>
              </w:rPr>
            </w:pPr>
            <w:r>
              <w:rPr>
                <w:rFonts w:ascii="宋体" w:hAnsi="宋体" w:cs="宋体" w:hint="eastAsia"/>
                <w:color w:val="000000"/>
                <w:kern w:val="0"/>
                <w:szCs w:val="21"/>
              </w:rPr>
              <w:t>注：本表反映部门本年度的总收支和年末结转结余情况。</w:t>
            </w: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8890" w:type="dxa"/>
        <w:jc w:val="center"/>
        <w:tblLayout w:type="fixed"/>
        <w:tblCellMar>
          <w:left w:w="0" w:type="dxa"/>
          <w:right w:w="0" w:type="dxa"/>
        </w:tblCellMar>
        <w:tblLook w:val="04A0"/>
      </w:tblPr>
      <w:tblGrid>
        <w:gridCol w:w="335"/>
        <w:gridCol w:w="179"/>
        <w:gridCol w:w="520"/>
        <w:gridCol w:w="1569"/>
        <w:gridCol w:w="372"/>
        <w:gridCol w:w="170"/>
        <w:gridCol w:w="90"/>
        <w:gridCol w:w="37"/>
        <w:gridCol w:w="688"/>
        <w:gridCol w:w="90"/>
        <w:gridCol w:w="142"/>
        <w:gridCol w:w="584"/>
        <w:gridCol w:w="90"/>
        <w:gridCol w:w="247"/>
        <w:gridCol w:w="478"/>
        <w:gridCol w:w="90"/>
        <w:gridCol w:w="352"/>
        <w:gridCol w:w="373"/>
        <w:gridCol w:w="90"/>
        <w:gridCol w:w="458"/>
        <w:gridCol w:w="920"/>
        <w:gridCol w:w="926"/>
        <w:gridCol w:w="90"/>
      </w:tblGrid>
      <w:tr w:rsidR="00956FE6">
        <w:trPr>
          <w:gridAfter w:val="1"/>
          <w:wAfter w:w="90" w:type="dxa"/>
          <w:trHeight w:val="770"/>
          <w:jc w:val="center"/>
        </w:trPr>
        <w:tc>
          <w:tcPr>
            <w:tcW w:w="8800" w:type="dxa"/>
            <w:gridSpan w:val="22"/>
            <w:tcBorders>
              <w:top w:val="nil"/>
              <w:left w:val="nil"/>
              <w:bottom w:val="nil"/>
              <w:right w:val="nil"/>
            </w:tcBorders>
            <w:shd w:val="clear" w:color="auto" w:fill="auto"/>
            <w:noWrap/>
            <w:tcMar>
              <w:top w:w="15" w:type="dxa"/>
              <w:left w:w="15" w:type="dxa"/>
              <w:right w:w="15" w:type="dxa"/>
            </w:tcMar>
            <w:vAlign w:val="bottom"/>
          </w:tcPr>
          <w:p w:rsidR="00956FE6" w:rsidRDefault="00E76549">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w:t>
            </w:r>
            <w:r w:rsidR="00956FE6" w:rsidRPr="00956FE6">
              <w:rPr>
                <w:sz w:val="44"/>
              </w:rPr>
              <w:pict>
                <v:group id="_x0000_s1092" style="position:absolute;left:0;text-align:left;margin-left:-82.75pt;margin-top:-81.1pt;width:243.2pt;height:41.2pt;z-index:251658240;mso-position-horizontal-relative:text;mso-position-vertical-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v:rect id="矩形 13" o:spid="_x0000_s1094" style="position:absolute;left:4551;top:52615;width:8546;height:1175;v-text-anchor:middle"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fillcolor="#d9d9d9" stroked="f" strokeweight="2pt"/>
                  <v:rect id="矩形 14" o:spid="_x0000_s1093" style="position:absolute;left:4577;top:52890;width:8324;height:1123;v-text-anchor:middle"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40"/>
                <w:szCs w:val="40"/>
              </w:rPr>
              <w:t>算表</w:t>
            </w:r>
          </w:p>
        </w:tc>
      </w:tr>
      <w:tr w:rsidR="00956FE6">
        <w:trPr>
          <w:trHeight w:val="362"/>
          <w:jc w:val="center"/>
        </w:trPr>
        <w:tc>
          <w:tcPr>
            <w:tcW w:w="335"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569"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372"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公开02表</w:t>
            </w:r>
          </w:p>
        </w:tc>
      </w:tr>
      <w:tr w:rsidR="00956FE6">
        <w:trPr>
          <w:gridAfter w:val="1"/>
          <w:wAfter w:w="90" w:type="dxa"/>
          <w:trHeight w:val="362"/>
          <w:jc w:val="center"/>
        </w:trPr>
        <w:tc>
          <w:tcPr>
            <w:tcW w:w="2603" w:type="dxa"/>
            <w:gridSpan w:val="4"/>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3"/>
                <w:szCs w:val="13"/>
              </w:rPr>
            </w:pPr>
            <w:r>
              <w:rPr>
                <w:rFonts w:ascii="宋体" w:hAnsi="宋体" w:cs="宋体" w:hint="eastAsia"/>
                <w:color w:val="000000"/>
                <w:kern w:val="0"/>
                <w:sz w:val="13"/>
                <w:szCs w:val="13"/>
              </w:rPr>
              <w:t>部门：安平县食品和市场监督管理局</w:t>
            </w:r>
          </w:p>
        </w:tc>
        <w:tc>
          <w:tcPr>
            <w:tcW w:w="542"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13"/>
                <w:szCs w:val="13"/>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56FE6">
        <w:trPr>
          <w:gridAfter w:val="1"/>
          <w:wAfter w:w="90" w:type="dxa"/>
          <w:trHeight w:val="325"/>
          <w:jc w:val="center"/>
        </w:trPr>
        <w:tc>
          <w:tcPr>
            <w:tcW w:w="2603" w:type="dxa"/>
            <w:gridSpan w:val="4"/>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669" w:type="dxa"/>
            <w:gridSpan w:val="4"/>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本年收入合计</w:t>
            </w:r>
          </w:p>
        </w:tc>
        <w:tc>
          <w:tcPr>
            <w:tcW w:w="920"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财政拨款收入</w:t>
            </w:r>
          </w:p>
        </w:tc>
        <w:tc>
          <w:tcPr>
            <w:tcW w:w="921"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上级补助收入</w:t>
            </w:r>
          </w:p>
        </w:tc>
        <w:tc>
          <w:tcPr>
            <w:tcW w:w="920"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事业收入</w:t>
            </w:r>
          </w:p>
        </w:tc>
        <w:tc>
          <w:tcPr>
            <w:tcW w:w="921" w:type="dxa"/>
            <w:gridSpan w:val="3"/>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经营收入</w:t>
            </w:r>
          </w:p>
        </w:tc>
        <w:tc>
          <w:tcPr>
            <w:tcW w:w="92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附属单位上缴收入</w:t>
            </w:r>
          </w:p>
        </w:tc>
        <w:tc>
          <w:tcPr>
            <w:tcW w:w="926" w:type="dxa"/>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其他收入</w:t>
            </w:r>
          </w:p>
        </w:tc>
      </w:tr>
      <w:tr w:rsidR="00956FE6">
        <w:trPr>
          <w:gridAfter w:val="1"/>
          <w:wAfter w:w="90" w:type="dxa"/>
          <w:trHeight w:val="626"/>
          <w:jc w:val="center"/>
        </w:trPr>
        <w:tc>
          <w:tcPr>
            <w:tcW w:w="1034"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功能分类科目编码</w:t>
            </w:r>
          </w:p>
        </w:tc>
        <w:tc>
          <w:tcPr>
            <w:tcW w:w="1569" w:type="dxa"/>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科目名称</w:t>
            </w:r>
          </w:p>
        </w:tc>
        <w:tc>
          <w:tcPr>
            <w:tcW w:w="669" w:type="dxa"/>
            <w:gridSpan w:val="4"/>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 w:val="20"/>
                <w:szCs w:val="20"/>
              </w:rPr>
            </w:pPr>
          </w:p>
        </w:tc>
        <w:tc>
          <w:tcPr>
            <w:tcW w:w="920"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textAlignment w:val="center"/>
              <w:rPr>
                <w:rFonts w:ascii="宋体" w:hAnsi="宋体" w:cs="宋体"/>
                <w:color w:val="000000"/>
                <w:kern w:val="0"/>
                <w:sz w:val="20"/>
                <w:szCs w:val="20"/>
              </w:rPr>
            </w:pPr>
          </w:p>
        </w:tc>
        <w:tc>
          <w:tcPr>
            <w:tcW w:w="921"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textAlignment w:val="center"/>
              <w:rPr>
                <w:rFonts w:ascii="宋体" w:hAnsi="宋体" w:cs="宋体"/>
                <w:color w:val="000000"/>
                <w:kern w:val="0"/>
                <w:sz w:val="20"/>
                <w:szCs w:val="20"/>
              </w:rPr>
            </w:pPr>
          </w:p>
        </w:tc>
        <w:tc>
          <w:tcPr>
            <w:tcW w:w="920"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textAlignment w:val="center"/>
              <w:rPr>
                <w:rFonts w:ascii="宋体" w:hAnsi="宋体" w:cs="宋体"/>
                <w:color w:val="000000"/>
                <w:kern w:val="0"/>
                <w:sz w:val="20"/>
                <w:szCs w:val="20"/>
              </w:rPr>
            </w:pPr>
          </w:p>
        </w:tc>
        <w:tc>
          <w:tcPr>
            <w:tcW w:w="921" w:type="dxa"/>
            <w:gridSpan w:val="3"/>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textAlignment w:val="center"/>
              <w:rPr>
                <w:rFonts w:ascii="宋体" w:hAnsi="宋体" w:cs="宋体"/>
                <w:color w:val="000000"/>
                <w:kern w:val="0"/>
                <w:sz w:val="20"/>
                <w:szCs w:val="20"/>
              </w:rPr>
            </w:pPr>
          </w:p>
        </w:tc>
        <w:tc>
          <w:tcPr>
            <w:tcW w:w="92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textAlignment w:val="center"/>
              <w:rPr>
                <w:rFonts w:ascii="宋体" w:hAnsi="宋体" w:cs="宋体"/>
                <w:color w:val="000000"/>
                <w:kern w:val="0"/>
                <w:sz w:val="20"/>
                <w:szCs w:val="20"/>
              </w:rPr>
            </w:pPr>
          </w:p>
        </w:tc>
        <w:tc>
          <w:tcPr>
            <w:tcW w:w="926" w:type="dxa"/>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956FE6" w:rsidRDefault="00956FE6">
            <w:pPr>
              <w:widowControl/>
              <w:spacing w:after="0" w:line="240" w:lineRule="atLeast"/>
              <w:jc w:val="center"/>
              <w:textAlignment w:val="center"/>
              <w:rPr>
                <w:rFonts w:ascii="宋体" w:hAnsi="宋体" w:cs="宋体"/>
                <w:color w:val="000000"/>
                <w:kern w:val="0"/>
                <w:sz w:val="20"/>
                <w:szCs w:val="20"/>
              </w:rPr>
            </w:pPr>
          </w:p>
        </w:tc>
      </w:tr>
      <w:tr w:rsidR="00956FE6">
        <w:trPr>
          <w:gridAfter w:val="1"/>
          <w:wAfter w:w="90" w:type="dxa"/>
          <w:trHeight w:val="391"/>
          <w:jc w:val="center"/>
        </w:trPr>
        <w:tc>
          <w:tcPr>
            <w:tcW w:w="26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669"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9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9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r>
      <w:tr w:rsidR="00956FE6">
        <w:trPr>
          <w:gridAfter w:val="1"/>
          <w:wAfter w:w="90" w:type="dxa"/>
          <w:trHeight w:val="90"/>
          <w:jc w:val="center"/>
        </w:trPr>
        <w:tc>
          <w:tcPr>
            <w:tcW w:w="26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669" w:type="dxa"/>
            <w:gridSpan w:val="4"/>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2289.68</w:t>
            </w:r>
          </w:p>
        </w:tc>
        <w:tc>
          <w:tcPr>
            <w:tcW w:w="920"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2287.83</w:t>
            </w:r>
          </w:p>
        </w:tc>
        <w:tc>
          <w:tcPr>
            <w:tcW w:w="921"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color w:val="000000"/>
                <w:sz w:val="18"/>
                <w:szCs w:val="18"/>
              </w:rPr>
            </w:pPr>
          </w:p>
        </w:tc>
        <w:tc>
          <w:tcPr>
            <w:tcW w:w="920"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color w:val="000000"/>
                <w:sz w:val="18"/>
                <w:szCs w:val="18"/>
              </w:rPr>
            </w:pPr>
          </w:p>
        </w:tc>
        <w:tc>
          <w:tcPr>
            <w:tcW w:w="921"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color w:val="000000"/>
                <w:sz w:val="18"/>
                <w:szCs w:val="18"/>
              </w:rPr>
            </w:pPr>
          </w:p>
        </w:tc>
        <w:tc>
          <w:tcPr>
            <w:tcW w:w="92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color w:val="000000"/>
                <w:sz w:val="18"/>
                <w:szCs w:val="18"/>
              </w:rPr>
            </w:pPr>
          </w:p>
        </w:tc>
        <w:tc>
          <w:tcPr>
            <w:tcW w:w="926"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 w:val="18"/>
                <w:szCs w:val="18"/>
              </w:rPr>
            </w:pPr>
            <w:r>
              <w:rPr>
                <w:rFonts w:ascii="宋体" w:hAnsi="宋体" w:cs="宋体" w:hint="eastAsia"/>
                <w:b/>
                <w:color w:val="000000"/>
                <w:sz w:val="18"/>
                <w:szCs w:val="18"/>
              </w:rPr>
              <w:t>1.85</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 w:val="15"/>
                <w:szCs w:val="15"/>
              </w:rPr>
              <w:t>201</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 w:val="13"/>
                <w:szCs w:val="13"/>
              </w:rPr>
              <w:t>一般公共服务支出</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3"/>
                <w:szCs w:val="13"/>
              </w:rPr>
            </w:pPr>
            <w:r>
              <w:rPr>
                <w:rFonts w:ascii="宋体" w:hAnsi="宋体" w:cs="宋体" w:hint="eastAsia"/>
                <w:color w:val="000000"/>
                <w:sz w:val="13"/>
                <w:szCs w:val="13"/>
              </w:rPr>
              <w:t>1970.18</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3"/>
                <w:szCs w:val="13"/>
              </w:rPr>
            </w:pPr>
            <w:r>
              <w:rPr>
                <w:rFonts w:ascii="宋体" w:hAnsi="宋体" w:cs="宋体" w:hint="eastAsia"/>
                <w:color w:val="000000"/>
                <w:sz w:val="13"/>
                <w:szCs w:val="13"/>
              </w:rPr>
              <w:t>1969.38</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3"/>
                <w:szCs w:val="13"/>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3"/>
                <w:szCs w:val="13"/>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3"/>
                <w:szCs w:val="13"/>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3"/>
                <w:szCs w:val="13"/>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3"/>
                <w:szCs w:val="13"/>
              </w:rPr>
            </w:pPr>
            <w:r>
              <w:rPr>
                <w:rFonts w:ascii="宋体" w:hAnsi="宋体" w:cs="宋体" w:hint="eastAsia"/>
                <w:color w:val="000000"/>
                <w:sz w:val="13"/>
                <w:szCs w:val="13"/>
              </w:rPr>
              <w:t>0.8</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5"/>
                <w:szCs w:val="15"/>
              </w:rPr>
              <w:t>20115</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5"/>
                <w:szCs w:val="15"/>
              </w:rPr>
              <w:t>工商行政管理事务</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1687.12</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1686.41</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0.71</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2011501</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行政运行</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1048.66</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1047.95</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0.71</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2011502</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一般行政管理实务</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108.84</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108.84</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2011504</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工商行政管理专项</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117.1</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117.1</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2011550</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事业运行</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412.52</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412.52</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99"/>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5"/>
                <w:szCs w:val="15"/>
              </w:rPr>
              <w:t>20117</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5"/>
                <w:szCs w:val="15"/>
              </w:rPr>
              <w:t>质量技术监督与检验检疫事务</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283.06</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282.97</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0.09</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2011701</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行政运行</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4.74</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4.65</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0.09</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2011702</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一般行政管理事务</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2011706</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0"/>
                <w:szCs w:val="10"/>
              </w:rPr>
              <w:t>质量技术监督行政执法及业务管理</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78.32</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78.32</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2011707</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3"/>
                <w:szCs w:val="13"/>
              </w:rPr>
              <w:t>质量技术监督技术支持</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2011750</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事业运行</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200</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200</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3"/>
                <w:szCs w:val="13"/>
              </w:rPr>
            </w:pPr>
            <w:r>
              <w:rPr>
                <w:rFonts w:ascii="宋体" w:hAnsi="宋体" w:cs="宋体" w:hint="eastAsia"/>
                <w:b/>
                <w:bCs/>
                <w:color w:val="000000"/>
                <w:sz w:val="13"/>
                <w:szCs w:val="13"/>
              </w:rPr>
              <w:t>210</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3"/>
                <w:szCs w:val="13"/>
              </w:rPr>
            </w:pPr>
            <w:r>
              <w:rPr>
                <w:rFonts w:ascii="宋体" w:hAnsi="宋体" w:cs="宋体" w:hint="eastAsia"/>
                <w:b/>
                <w:bCs/>
                <w:color w:val="000000"/>
                <w:sz w:val="13"/>
                <w:szCs w:val="13"/>
              </w:rPr>
              <w:t>医疗卫生与计划生育支出</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319.5</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318.45</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1.05</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5"/>
                <w:szCs w:val="15"/>
              </w:rPr>
              <w:t>21004</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5"/>
                <w:szCs w:val="15"/>
              </w:rPr>
              <w:t>公共卫生</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14.72</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14.72</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2100409</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重大公共卫生专项</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2100499</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其他公共卫生支出</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14.72</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14.72</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5"/>
                <w:szCs w:val="15"/>
              </w:rPr>
              <w:t>21010</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5"/>
                <w:szCs w:val="15"/>
              </w:rPr>
            </w:pPr>
            <w:r>
              <w:rPr>
                <w:rFonts w:ascii="宋体" w:hAnsi="宋体" w:cs="宋体" w:hint="eastAsia"/>
                <w:b/>
                <w:bCs/>
                <w:color w:val="000000"/>
                <w:sz w:val="13"/>
                <w:szCs w:val="13"/>
              </w:rPr>
              <w:t>食品和药品监督管理事务</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304.78</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303.73</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 w:val="15"/>
                <w:szCs w:val="15"/>
              </w:rPr>
            </w:pPr>
            <w:r>
              <w:rPr>
                <w:rFonts w:ascii="宋体" w:hAnsi="宋体" w:cs="宋体" w:hint="eastAsia"/>
                <w:b/>
                <w:bCs/>
                <w:color w:val="000000"/>
                <w:sz w:val="15"/>
                <w:szCs w:val="15"/>
              </w:rPr>
              <w:t>1.05</w:t>
            </w: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2101001</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行政运行</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37.96</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37.96</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2101002</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一般行政管理事务</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92.06</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92.06</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2101016</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食品安全事务</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160</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160</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2101050</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事业运行</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13.72</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13.72</w:t>
            </w: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r>
      <w:tr w:rsidR="00956FE6">
        <w:trPr>
          <w:gridAfter w:val="1"/>
          <w:wAfter w:w="90" w:type="dxa"/>
          <w:trHeight w:val="371"/>
          <w:jc w:val="center"/>
        </w:trPr>
        <w:tc>
          <w:tcPr>
            <w:tcW w:w="1034"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2101099</w:t>
            </w:r>
          </w:p>
        </w:tc>
        <w:tc>
          <w:tcPr>
            <w:tcW w:w="15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5"/>
                <w:szCs w:val="15"/>
              </w:rPr>
            </w:pPr>
            <w:r>
              <w:rPr>
                <w:rFonts w:ascii="宋体" w:hAnsi="宋体" w:cs="宋体" w:hint="eastAsia"/>
                <w:color w:val="000000"/>
                <w:sz w:val="15"/>
                <w:szCs w:val="15"/>
              </w:rPr>
              <w:t>其他食品和药品支出</w:t>
            </w:r>
          </w:p>
        </w:tc>
        <w:tc>
          <w:tcPr>
            <w:tcW w:w="669"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1.05</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5"/>
                <w:szCs w:val="15"/>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5"/>
                <w:szCs w:val="15"/>
              </w:rPr>
            </w:pPr>
            <w:r>
              <w:rPr>
                <w:rFonts w:ascii="宋体" w:hAnsi="宋体" w:cs="宋体" w:hint="eastAsia"/>
                <w:color w:val="000000"/>
                <w:sz w:val="15"/>
                <w:szCs w:val="15"/>
              </w:rPr>
              <w:t>1.05</w:t>
            </w:r>
          </w:p>
        </w:tc>
      </w:tr>
      <w:tr w:rsidR="00956FE6">
        <w:trPr>
          <w:gridAfter w:val="1"/>
          <w:wAfter w:w="90" w:type="dxa"/>
          <w:trHeight w:val="481"/>
          <w:jc w:val="center"/>
        </w:trPr>
        <w:tc>
          <w:tcPr>
            <w:tcW w:w="8800" w:type="dxa"/>
            <w:gridSpan w:val="2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注：本表反映部门本年度取得的各项收入情况。</w:t>
            </w: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9090" w:type="dxa"/>
        <w:tblLayout w:type="fixed"/>
        <w:tblCellMar>
          <w:left w:w="0" w:type="dxa"/>
          <w:right w:w="0" w:type="dxa"/>
        </w:tblCellMar>
        <w:tblLook w:val="04A0"/>
      </w:tblPr>
      <w:tblGrid>
        <w:gridCol w:w="290"/>
        <w:gridCol w:w="289"/>
        <w:gridCol w:w="240"/>
        <w:gridCol w:w="2016"/>
        <w:gridCol w:w="401"/>
        <w:gridCol w:w="529"/>
        <w:gridCol w:w="499"/>
        <w:gridCol w:w="90"/>
        <w:gridCol w:w="312"/>
        <w:gridCol w:w="718"/>
        <w:gridCol w:w="90"/>
        <w:gridCol w:w="275"/>
        <w:gridCol w:w="753"/>
        <w:gridCol w:w="90"/>
        <w:gridCol w:w="241"/>
        <w:gridCol w:w="879"/>
        <w:gridCol w:w="204"/>
        <w:gridCol w:w="1084"/>
        <w:gridCol w:w="90"/>
      </w:tblGrid>
      <w:tr w:rsidR="00956FE6">
        <w:trPr>
          <w:gridAfter w:val="1"/>
          <w:wAfter w:w="90" w:type="dxa"/>
          <w:trHeight w:val="798"/>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支出决算</w:t>
            </w:r>
            <w:r w:rsidR="00956FE6" w:rsidRPr="00956FE6">
              <w:rPr>
                <w:sz w:val="44"/>
              </w:rPr>
              <w:pict>
                <v:group id="_x0000_s1089" style="position:absolute;left:0;text-align:left;margin-left:-80.9pt;margin-top:-81.1pt;width:243.2pt;height:41.2pt;z-index:251659264;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v:rect id="矩形 13" o:spid="_x0000_s1091" style="position:absolute;left:4551;top:52615;width:8546;height:1175;v-text-anchor:middle"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fillcolor="#d9d9d9" stroked="f" strokeweight="2pt"/>
                  <v:rect id="矩形 14" o:spid="_x0000_s1090" style="position:absolute;left:4577;top:52890;width:8324;height:1123;v-text-anchor:middle"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956FE6">
        <w:trPr>
          <w:trHeight w:val="404"/>
        </w:trPr>
        <w:tc>
          <w:tcPr>
            <w:tcW w:w="29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4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016"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401"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公开03表</w:t>
            </w:r>
          </w:p>
        </w:tc>
      </w:tr>
      <w:tr w:rsidR="00956FE6">
        <w:trPr>
          <w:gridAfter w:val="1"/>
          <w:wAfter w:w="90" w:type="dxa"/>
          <w:trHeight w:val="380"/>
        </w:trPr>
        <w:tc>
          <w:tcPr>
            <w:tcW w:w="2835" w:type="dxa"/>
            <w:gridSpan w:val="4"/>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Pr>
                <w:rFonts w:ascii="宋体" w:hAnsi="宋体" w:cs="宋体" w:hint="eastAsia"/>
                <w:color w:val="000000"/>
                <w:kern w:val="0"/>
                <w:sz w:val="15"/>
                <w:szCs w:val="15"/>
              </w:rPr>
              <w:t>安平县食品和市场监督管理局</w:t>
            </w:r>
          </w:p>
        </w:tc>
        <w:tc>
          <w:tcPr>
            <w:tcW w:w="1429"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56FE6">
        <w:trPr>
          <w:gridAfter w:val="1"/>
          <w:wAfter w:w="90" w:type="dxa"/>
          <w:trHeight w:val="837"/>
        </w:trPr>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930" w:type="dxa"/>
            <w:gridSpan w:val="2"/>
            <w:tcBorders>
              <w:top w:val="single" w:sz="4" w:space="0" w:color="000000"/>
              <w:left w:val="nil"/>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本年支出合计</w:t>
            </w:r>
          </w:p>
        </w:tc>
        <w:tc>
          <w:tcPr>
            <w:tcW w:w="901" w:type="dxa"/>
            <w:gridSpan w:val="3"/>
            <w:tcBorders>
              <w:top w:val="single" w:sz="4" w:space="0" w:color="000000"/>
              <w:left w:val="nil"/>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083" w:type="dxa"/>
            <w:gridSpan w:val="3"/>
            <w:tcBorders>
              <w:top w:val="single" w:sz="4" w:space="0" w:color="000000"/>
              <w:left w:val="nil"/>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084" w:type="dxa"/>
            <w:gridSpan w:val="3"/>
            <w:tcBorders>
              <w:top w:val="single" w:sz="4" w:space="0" w:color="000000"/>
              <w:left w:val="nil"/>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上缴上级支出</w:t>
            </w:r>
          </w:p>
        </w:tc>
        <w:tc>
          <w:tcPr>
            <w:tcW w:w="1083" w:type="dxa"/>
            <w:gridSpan w:val="2"/>
            <w:tcBorders>
              <w:top w:val="single" w:sz="4" w:space="0" w:color="000000"/>
              <w:left w:val="nil"/>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经营支出</w:t>
            </w:r>
          </w:p>
        </w:tc>
        <w:tc>
          <w:tcPr>
            <w:tcW w:w="1084" w:type="dxa"/>
            <w:tcBorders>
              <w:top w:val="single" w:sz="4" w:space="0" w:color="000000"/>
              <w:left w:val="nil"/>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对附属单位补助支出</w:t>
            </w:r>
          </w:p>
        </w:tc>
      </w:tr>
      <w:tr w:rsidR="00956FE6">
        <w:trPr>
          <w:gridAfter w:val="1"/>
          <w:wAfter w:w="90" w:type="dxa"/>
          <w:trHeight w:val="782"/>
        </w:trPr>
        <w:tc>
          <w:tcPr>
            <w:tcW w:w="819"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 w:val="11"/>
                <w:szCs w:val="11"/>
              </w:rPr>
              <w:t>功能分类科目编码</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930" w:type="dxa"/>
            <w:gridSpan w:val="2"/>
            <w:tcBorders>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901" w:type="dxa"/>
            <w:gridSpan w:val="3"/>
            <w:tcBorders>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083" w:type="dxa"/>
            <w:gridSpan w:val="3"/>
            <w:tcBorders>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084" w:type="dxa"/>
            <w:gridSpan w:val="3"/>
            <w:tcBorders>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083" w:type="dxa"/>
            <w:gridSpan w:val="2"/>
            <w:tcBorders>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084" w:type="dxa"/>
            <w:tcBorders>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r>
      <w:tr w:rsidR="00956FE6">
        <w:trPr>
          <w:gridAfter w:val="1"/>
          <w:wAfter w:w="90" w:type="dxa"/>
          <w:trHeight w:val="395"/>
        </w:trPr>
        <w:tc>
          <w:tcPr>
            <w:tcW w:w="2835"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930"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901"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083"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084"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6</w:t>
            </w:r>
          </w:p>
        </w:tc>
      </w:tr>
      <w:tr w:rsidR="00956FE6">
        <w:trPr>
          <w:gridAfter w:val="1"/>
          <w:wAfter w:w="90" w:type="dxa"/>
          <w:trHeight w:val="440"/>
        </w:trPr>
        <w:tc>
          <w:tcPr>
            <w:tcW w:w="2835"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Cs w:val="21"/>
              </w:rPr>
            </w:pPr>
            <w:r>
              <w:rPr>
                <w:rFonts w:ascii="宋体" w:hAnsi="宋体" w:cs="宋体" w:hint="eastAsia"/>
                <w:b/>
                <w:color w:val="000000"/>
                <w:szCs w:val="21"/>
              </w:rPr>
              <w:t>2332.75</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Cs w:val="21"/>
              </w:rPr>
            </w:pPr>
            <w:r>
              <w:rPr>
                <w:rFonts w:ascii="宋体" w:hAnsi="宋体" w:cs="宋体" w:hint="eastAsia"/>
                <w:b/>
                <w:color w:val="000000"/>
                <w:szCs w:val="21"/>
              </w:rPr>
              <w:t>1920.07</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Cs w:val="21"/>
              </w:rPr>
            </w:pPr>
            <w:r>
              <w:rPr>
                <w:rFonts w:ascii="宋体" w:hAnsi="宋体" w:cs="宋体" w:hint="eastAsia"/>
                <w:b/>
                <w:color w:val="000000"/>
                <w:szCs w:val="21"/>
              </w:rPr>
              <w:t>412.69</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201</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一般公共服务支出</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2013.23</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1776.34</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236.89</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20115</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工商行政管理事务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1686.87</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1548.42</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138.45</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2011501</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行政运行</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1027.06</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1027.06</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2011502</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108.84</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108.84</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2011504</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工商行政管理事务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138.45</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138.45</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2011550</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事业运行</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412.52</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412.52</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20117</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 w:val="15"/>
                <w:szCs w:val="15"/>
              </w:rPr>
              <w:t>质量技术监督与检验检疫事务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326.36</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200.93</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98.43</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2011701</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行政运行</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27.93</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27.93</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2011702</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18.55</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18.55</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2011706</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质量技术监督行政执法及业务管理</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78.32</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78.32</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2011707</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 w:val="18"/>
                <w:szCs w:val="18"/>
              </w:rPr>
              <w:t>质量技术监督技术支持</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1.56</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1.56</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2011750</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事业运行</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200</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200</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210</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8"/>
                <w:szCs w:val="18"/>
              </w:rPr>
            </w:pPr>
            <w:r>
              <w:rPr>
                <w:rFonts w:ascii="宋体" w:hAnsi="宋体" w:cs="宋体" w:hint="eastAsia"/>
                <w:b/>
                <w:bCs/>
                <w:color w:val="000000"/>
                <w:sz w:val="15"/>
                <w:szCs w:val="15"/>
              </w:rPr>
              <w:t>医疗卫生与计划生育支出</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319.52</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143.73</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175.8</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21004</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8"/>
                <w:szCs w:val="18"/>
              </w:rPr>
            </w:pPr>
            <w:r>
              <w:rPr>
                <w:rFonts w:ascii="宋体" w:hAnsi="宋体" w:cs="宋体" w:hint="eastAsia"/>
                <w:b/>
                <w:bCs/>
                <w:color w:val="000000"/>
                <w:sz w:val="18"/>
                <w:szCs w:val="18"/>
              </w:rPr>
              <w:t>公共卫生</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8.4</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8.4</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2100409</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重大公共卫生专项</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3.24</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3.24</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2100499</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其他公共卫生支出</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5.16</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5.16</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21010</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8"/>
                <w:szCs w:val="18"/>
              </w:rPr>
            </w:pPr>
            <w:r>
              <w:rPr>
                <w:rFonts w:ascii="宋体" w:hAnsi="宋体" w:cs="宋体" w:hint="eastAsia"/>
                <w:b/>
                <w:bCs/>
                <w:color w:val="000000"/>
                <w:sz w:val="15"/>
                <w:szCs w:val="15"/>
              </w:rPr>
              <w:t>食品和药品监督管理事务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311.13</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143.73</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167.4</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lastRenderedPageBreak/>
              <w:t>2101001</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行政运行</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37.95</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37.95</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2101002</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一般行政管理事务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92.06</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92.06</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2101016</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食品安全事务</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160</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160</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2101050</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事业运行</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13.72</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13.72</w:t>
            </w: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468"/>
        </w:trPr>
        <w:tc>
          <w:tcPr>
            <w:tcW w:w="81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2101099</w:t>
            </w:r>
          </w:p>
        </w:tc>
        <w:tc>
          <w:tcPr>
            <w:tcW w:w="201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其他食品和药品监督管理事务支出</w:t>
            </w:r>
          </w:p>
        </w:tc>
        <w:tc>
          <w:tcPr>
            <w:tcW w:w="93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7.4</w:t>
            </w:r>
          </w:p>
        </w:tc>
        <w:tc>
          <w:tcPr>
            <w:tcW w:w="90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7.4</w:t>
            </w:r>
          </w:p>
        </w:tc>
        <w:tc>
          <w:tcPr>
            <w:tcW w:w="108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gridAfter w:val="1"/>
          <w:wAfter w:w="90" w:type="dxa"/>
          <w:trHeight w:val="748"/>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注：本表反映部门本年度各项支出情况。</w:t>
            </w:r>
          </w:p>
        </w:tc>
      </w:tr>
    </w:tbl>
    <w:p w:rsidR="00956FE6" w:rsidRDefault="00956FE6" w:rsidP="00E76549">
      <w:pPr>
        <w:widowControl/>
        <w:spacing w:after="0" w:line="560" w:lineRule="exact"/>
        <w:ind w:firstLineChars="200" w:firstLine="561"/>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956FE6">
        <w:trPr>
          <w:trHeight w:val="152"/>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956FE6" w:rsidRPr="00956FE6">
              <w:rPr>
                <w:sz w:val="44"/>
              </w:rPr>
              <w:pict>
                <v:group id="_x0000_s1086" style="position:absolute;left:0;text-align:left;margin-left:-80.9pt;margin-top:-81.1pt;width:243.2pt;height:41.2pt;z-index:251660288;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v:rect id="矩形 13" o:spid="_x0000_s1088" style="position:absolute;left:4551;top:52615;width:8546;height:1175;v-text-anchor:middle"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fillcolor="#d9d9d9" stroked="f" strokeweight="2pt"/>
                  <v:rect id="矩形 14" o:spid="_x0000_s1087" style="position:absolute;left:4577;top:52890;width:8324;height:1123;v-text-anchor:middle"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956FE6">
        <w:trPr>
          <w:trHeight w:val="90"/>
        </w:trPr>
        <w:tc>
          <w:tcPr>
            <w:tcW w:w="1717"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公开04表</w:t>
            </w:r>
          </w:p>
        </w:tc>
      </w:tr>
      <w:tr w:rsidR="00956FE6">
        <w:trPr>
          <w:trHeight w:val="152"/>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rPr>
              <w:t>部门：安平县食品和市场监督管理局</w:t>
            </w:r>
          </w:p>
        </w:tc>
        <w:tc>
          <w:tcPr>
            <w:tcW w:w="65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956FE6">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     入</w:t>
            </w:r>
          </w:p>
        </w:tc>
        <w:tc>
          <w:tcPr>
            <w:tcW w:w="6153"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     出</w:t>
            </w:r>
          </w:p>
        </w:tc>
      </w:tr>
      <w:tr w:rsidR="00956FE6">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 w:val="18"/>
                <w:szCs w:val="18"/>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956FE6">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2287.83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2012.43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2012.43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312.13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312.13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2287.83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2324.56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2324.56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72.93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36.2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36.2</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72.93</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2360.76</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2360.76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2360.76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 w:val="18"/>
                <w:szCs w:val="18"/>
              </w:rPr>
            </w:pPr>
          </w:p>
        </w:tc>
      </w:tr>
      <w:tr w:rsidR="00956FE6">
        <w:trPr>
          <w:trHeight w:val="155"/>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317"/>
        <w:gridCol w:w="319"/>
        <w:gridCol w:w="357"/>
        <w:gridCol w:w="2109"/>
        <w:gridCol w:w="745"/>
        <w:gridCol w:w="1174"/>
        <w:gridCol w:w="718"/>
        <w:gridCol w:w="1201"/>
        <w:gridCol w:w="1920"/>
      </w:tblGrid>
      <w:tr w:rsidR="00956FE6">
        <w:trPr>
          <w:trHeight w:val="600"/>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rsidR="00956FE6" w:rsidRDefault="00E76549">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956FE6" w:rsidRPr="00956FE6">
              <w:rPr>
                <w:sz w:val="44"/>
              </w:rPr>
              <w:pict>
                <v:group id="_x0000_s1083" style="position:absolute;left:0;text-align:left;margin-left:-80.9pt;margin-top:-81.1pt;width:243.2pt;height:41.2pt;z-index:251661312;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v:rect id="矩形 13" o:spid="_x0000_s1085" style="position:absolute;left:4551;top:52615;width:8546;height:1175;v-text-anchor:middle"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fillcolor="#d9d9d9" stroked="f" strokeweight="2pt"/>
                  <v:rect id="矩形 14" o:spid="_x0000_s1084" style="position:absolute;left:4577;top:52890;width:8324;height:1123;v-text-anchor:middle"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956FE6">
        <w:trPr>
          <w:trHeight w:val="334"/>
        </w:trPr>
        <w:tc>
          <w:tcPr>
            <w:tcW w:w="317"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公开05表</w:t>
            </w:r>
          </w:p>
        </w:tc>
      </w:tr>
      <w:tr w:rsidR="00956FE6">
        <w:trPr>
          <w:trHeight w:val="334"/>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部门：安平县食品和市场监督管理局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56FE6">
        <w:trPr>
          <w:trHeight w:val="351"/>
        </w:trPr>
        <w:tc>
          <w:tcPr>
            <w:tcW w:w="31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75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w:t>
            </w:r>
          </w:p>
        </w:tc>
      </w:tr>
      <w:tr w:rsidR="00956FE6">
        <w:trPr>
          <w:trHeight w:val="334"/>
        </w:trPr>
        <w:tc>
          <w:tcPr>
            <w:tcW w:w="993"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92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r>
      <w:tr w:rsidR="00956FE6">
        <w:trPr>
          <w:trHeight w:val="334"/>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r>
      <w:tr w:rsidR="00956FE6">
        <w:trPr>
          <w:trHeight w:val="312"/>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tLeast"/>
              <w:jc w:val="center"/>
              <w:rPr>
                <w:rFonts w:ascii="宋体" w:hAnsi="宋体" w:cs="宋体"/>
                <w:color w:val="000000"/>
                <w:szCs w:val="21"/>
              </w:rPr>
            </w:pPr>
          </w:p>
        </w:tc>
      </w:tr>
      <w:tr w:rsidR="00956FE6">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r>
      <w:tr w:rsidR="00956FE6">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Cs w:val="21"/>
              </w:rPr>
            </w:pPr>
            <w:r>
              <w:rPr>
                <w:rFonts w:ascii="宋体" w:hAnsi="宋体" w:cs="宋体" w:hint="eastAsia"/>
                <w:b/>
                <w:color w:val="000000"/>
                <w:szCs w:val="21"/>
              </w:rPr>
              <w:t>2324.56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Cs w:val="21"/>
              </w:rPr>
            </w:pPr>
            <w:r>
              <w:rPr>
                <w:rFonts w:ascii="宋体" w:hAnsi="宋体" w:cs="宋体" w:hint="eastAsia"/>
                <w:b/>
                <w:color w:val="000000"/>
                <w:szCs w:val="21"/>
              </w:rPr>
              <w:t>1919.27</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color w:val="000000"/>
                <w:szCs w:val="21"/>
              </w:rPr>
            </w:pPr>
            <w:r>
              <w:rPr>
                <w:rFonts w:ascii="宋体" w:hAnsi="宋体" w:cs="宋体" w:hint="eastAsia"/>
                <w:b/>
                <w:color w:val="000000"/>
                <w:szCs w:val="21"/>
              </w:rPr>
              <w:t>405.28</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b/>
                <w:bCs/>
                <w:color w:val="000000"/>
                <w:szCs w:val="21"/>
              </w:rPr>
              <w:t>201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b/>
                <w:bCs/>
                <w:color w:val="000000"/>
                <w:szCs w:val="21"/>
              </w:rPr>
              <w:t>一般公共服务支出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2012.43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1775.54</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236.89</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工商行政管理事务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1686.16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1547.70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138.45</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1026.34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1026.34</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108.84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108.84</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2011504</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工商行政管理事务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138.45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138.45</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2011550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事业运行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412.52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412.52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20117</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 w:val="15"/>
                <w:szCs w:val="15"/>
              </w:rPr>
              <w:t>质量技术监督与检验检疫事务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326.27</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227.84</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98.43</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27.84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27.84</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一般行政管理事务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18.55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18.55</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2011706</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质量技术监督行政执法及业务管理</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78.32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78.32</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2011707</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 w:val="18"/>
                <w:szCs w:val="18"/>
              </w:rPr>
              <w:t>质量技术监督技术支持</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1.56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1.56</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2011750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事业运行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200</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200</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医疗卫生与计划生育支出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312.13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143.73</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168.4</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21004</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8"/>
                <w:szCs w:val="18"/>
              </w:rPr>
            </w:pPr>
            <w:r>
              <w:rPr>
                <w:rFonts w:ascii="宋体" w:hAnsi="宋体" w:cs="宋体" w:hint="eastAsia"/>
                <w:b/>
                <w:bCs/>
                <w:color w:val="000000"/>
                <w:sz w:val="18"/>
                <w:szCs w:val="18"/>
              </w:rPr>
              <w:t>公共卫生</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8.4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b/>
                <w:bCs/>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8.4</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2100409</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重大公共卫生专项</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3.24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3.24</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2100499</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其他公共卫生支出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5.16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5.16</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Cs w:val="21"/>
              </w:rPr>
            </w:pPr>
            <w:r>
              <w:rPr>
                <w:rFonts w:ascii="宋体" w:hAnsi="宋体" w:cs="宋体" w:hint="eastAsia"/>
                <w:b/>
                <w:bCs/>
                <w:color w:val="000000"/>
                <w:szCs w:val="21"/>
              </w:rPr>
              <w:t>21010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b/>
                <w:bCs/>
                <w:color w:val="000000"/>
                <w:sz w:val="18"/>
                <w:szCs w:val="18"/>
              </w:rPr>
            </w:pPr>
            <w:r>
              <w:rPr>
                <w:rFonts w:ascii="宋体" w:hAnsi="宋体" w:cs="宋体" w:hint="eastAsia"/>
                <w:b/>
                <w:bCs/>
                <w:color w:val="000000"/>
                <w:sz w:val="18"/>
                <w:szCs w:val="18"/>
              </w:rPr>
              <w:t>食品和药品监督管理事务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303.73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143.73</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b/>
                <w:bCs/>
                <w:color w:val="000000"/>
                <w:szCs w:val="21"/>
              </w:rPr>
            </w:pPr>
            <w:r>
              <w:rPr>
                <w:rFonts w:ascii="宋体" w:hAnsi="宋体" w:cs="宋体" w:hint="eastAsia"/>
                <w:b/>
                <w:bCs/>
                <w:color w:val="000000"/>
                <w:szCs w:val="21"/>
              </w:rPr>
              <w:t>160</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37.95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37.95</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一般行政管理事务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92.06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92.06</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2101016</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食品安全事务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160</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160</w:t>
            </w:r>
          </w:p>
        </w:tc>
      </w:tr>
      <w:tr w:rsidR="00956FE6">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Cs w:val="21"/>
              </w:rPr>
            </w:pPr>
            <w:r>
              <w:rPr>
                <w:rFonts w:ascii="宋体" w:hAnsi="宋体" w:cs="宋体" w:hint="eastAsia"/>
                <w:color w:val="000000"/>
                <w:szCs w:val="21"/>
              </w:rPr>
              <w:t>2101050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left"/>
              <w:rPr>
                <w:rFonts w:ascii="宋体" w:hAnsi="宋体" w:cs="宋体"/>
                <w:color w:val="000000"/>
                <w:sz w:val="18"/>
                <w:szCs w:val="18"/>
              </w:rPr>
            </w:pPr>
            <w:r>
              <w:rPr>
                <w:rFonts w:ascii="宋体" w:hAnsi="宋体" w:cs="宋体" w:hint="eastAsia"/>
                <w:color w:val="000000"/>
                <w:sz w:val="18"/>
                <w:szCs w:val="18"/>
              </w:rPr>
              <w:t>事业运行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13.72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tLeast"/>
              <w:jc w:val="right"/>
              <w:rPr>
                <w:rFonts w:ascii="宋体" w:hAnsi="宋体" w:cs="宋体"/>
                <w:color w:val="000000"/>
                <w:szCs w:val="21"/>
              </w:rPr>
            </w:pPr>
            <w:r>
              <w:rPr>
                <w:rFonts w:ascii="宋体" w:hAnsi="宋体" w:cs="宋体" w:hint="eastAsia"/>
                <w:color w:val="000000"/>
                <w:szCs w:val="21"/>
              </w:rPr>
              <w:t>13.72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tLeast"/>
              <w:jc w:val="right"/>
              <w:rPr>
                <w:rFonts w:ascii="宋体" w:hAnsi="宋体" w:cs="宋体"/>
                <w:color w:val="000000"/>
                <w:szCs w:val="21"/>
              </w:rPr>
            </w:pP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956FE6">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956FE6">
        <w:trPr>
          <w:trHeight w:val="269"/>
          <w:jc w:val="center"/>
        </w:trPr>
        <w:tc>
          <w:tcPr>
            <w:tcW w:w="558"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956FE6" w:rsidRDefault="00E76549">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公开06表</w:t>
            </w:r>
          </w:p>
        </w:tc>
      </w:tr>
      <w:tr w:rsidR="00956FE6">
        <w:trPr>
          <w:trHeight w:val="269"/>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sidR="00956FE6" w:rsidRPr="00956FE6">
              <w:rPr>
                <w:sz w:val="44"/>
              </w:rPr>
              <w:pict>
                <v:group id="_x0000_s1080" style="position:absolute;margin-left:-73.25pt;margin-top:-129.4pt;width:243.2pt;height:41.2pt;z-index:251662336;mso-position-horizontal-relative:text;mso-position-vertical-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v:rect id="矩形 13" o:spid="_x0000_s1082" style="position:absolute;left:4551;top:52615;width:8546;height:1175;v-text-anchor:middle"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fillcolor="#d9d9d9" stroked="f" strokeweight="2pt"/>
                  <v:rect id="矩形 14" o:spid="_x0000_s1081" style="position:absolute;left:4577;top:52890;width:8324;height:1123;v-text-anchor:middle"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宋体" w:hAnsi="宋体" w:cs="宋体" w:hint="eastAsia"/>
                <w:color w:val="000000"/>
                <w:kern w:val="0"/>
                <w:sz w:val="22"/>
                <w:szCs w:val="22"/>
              </w:rPr>
              <w:t>安平县食品和市场监督管理局</w:t>
            </w:r>
          </w:p>
        </w:tc>
        <w:tc>
          <w:tcPr>
            <w:tcW w:w="74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956FE6" w:rsidRDefault="00E76549">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956FE6">
        <w:trPr>
          <w:trHeight w:val="277"/>
          <w:jc w:val="center"/>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956FE6">
        <w:trPr>
          <w:trHeight w:val="312"/>
          <w:jc w:val="center"/>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956FE6">
        <w:trPr>
          <w:trHeight w:val="312"/>
          <w:jc w:val="center"/>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pacing w:after="0" w:line="240" w:lineRule="auto"/>
              <w:jc w:val="center"/>
              <w:rPr>
                <w:rFonts w:ascii="宋体" w:hAnsi="宋体" w:cs="宋体"/>
                <w:color w:val="000000"/>
                <w:sz w:val="22"/>
                <w:szCs w:val="22"/>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1474.3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411.47</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基本工资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568.32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21.7</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国内债务付息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津贴补贴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176.7</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印刷费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6.6</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国外债务付息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192.64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咨询费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1.15</w:t>
            </w: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伙食补助费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手续费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房屋建筑物购建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绩效工资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111</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水费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.4</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.51</w:t>
            </w:r>
          </w:p>
        </w:tc>
      </w:tr>
      <w:tr w:rsidR="00956FE6">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机关事业单位基本养老保险缴费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267.1</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4.5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职业年金缴费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邮电费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1.4</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基础设施建设</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职工基本医疗保险缴费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取暖费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31.14</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大型修缮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公务员医疗补助缴费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物业管理费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信息网络及软件购置更新</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20"/>
                <w:szCs w:val="20"/>
              </w:rPr>
            </w:pPr>
            <w:r>
              <w:rPr>
                <w:rFonts w:ascii="宋体" w:hAnsi="宋体" w:cs="宋体" w:hint="eastAsia"/>
                <w:color w:val="000000"/>
                <w:sz w:val="20"/>
                <w:szCs w:val="20"/>
              </w:rPr>
              <w:t>9.64</w:t>
            </w: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其他社会保障缴费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差旅费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7.78</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物资储备</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住房公积金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92.6</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因公出国（境）费用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土地补偿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维修（护）费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21.2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安置补助</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66.66</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租赁费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地上附着物和青苗补偿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23.34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会议费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拆迁补偿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离休费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培训费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2.67</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公务接待费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其他交通工具购置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退职（役）费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专用材料费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.28</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文物和陈列品购置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抚恤金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被装购置费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无形资产购置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生活补助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19.56</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专用燃料费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救济费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劳务费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98.35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委托业务费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35.8</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赠与</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助学金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工会经费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9.13</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国家赔偿费用支出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420"/>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奖励金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.67</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福利费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.55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对民间非营利组织和群众性自治组织补贴</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个人农业生产补贴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公务用车运行维护费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8.45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其他对个人和家庭的补助支出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3.11</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65.85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税金及附加费用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94.9</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napToGrid w:val="0"/>
              <w:spacing w:after="0" w:line="240" w:lineRule="auto"/>
              <w:jc w:val="right"/>
              <w:rPr>
                <w:rFonts w:ascii="宋体" w:hAnsi="宋体" w:cs="宋体"/>
                <w:color w:val="000000"/>
                <w:sz w:val="20"/>
                <w:szCs w:val="20"/>
              </w:rPr>
            </w:pPr>
          </w:p>
        </w:tc>
      </w:tr>
      <w:tr w:rsidR="00956FE6">
        <w:trPr>
          <w:trHeight w:val="317"/>
          <w:jc w:val="center"/>
        </w:trPr>
        <w:tc>
          <w:tcPr>
            <w:tcW w:w="2155"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1497.64</w:t>
            </w:r>
          </w:p>
        </w:tc>
        <w:tc>
          <w:tcPr>
            <w:tcW w:w="5328"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421.63</w:t>
            </w:r>
          </w:p>
        </w:tc>
      </w:tr>
      <w:tr w:rsidR="00956FE6">
        <w:trPr>
          <w:trHeight w:val="277"/>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注：本表反映部门本年度一般公共预算财政拨款基本支出明细情况。        </w:t>
            </w: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1158"/>
        <w:gridCol w:w="1527"/>
        <w:gridCol w:w="1528"/>
        <w:gridCol w:w="1530"/>
        <w:gridCol w:w="1530"/>
        <w:gridCol w:w="1527"/>
      </w:tblGrid>
      <w:tr w:rsidR="00956FE6">
        <w:trPr>
          <w:trHeight w:val="584"/>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956FE6" w:rsidRPr="00956FE6">
              <w:rPr>
                <w:sz w:val="44"/>
              </w:rPr>
              <w:pict>
                <v:group id="_x0000_s1077" style="position:absolute;left:0;text-align:left;margin-left:-82.75pt;margin-top:-81.1pt;width:243.2pt;height:41.2pt;z-index:251663360;mso-position-horizontal-relative:text;mso-position-vertical-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v:rect id="矩形 13" o:spid="_x0000_s1079" style="position:absolute;left:4551;top:52615;width:8546;height:1175;v-text-anchor:middle"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fillcolor="#d9d9d9" stroked="f" strokeweight="2pt"/>
                  <v:rect id="矩形 14" o:spid="_x0000_s1078" style="position:absolute;left:4577;top:52890;width:8324;height:1123;v-text-anchor:middle"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956FE6">
        <w:trPr>
          <w:trHeight w:val="347"/>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公开07表</w:t>
            </w:r>
          </w:p>
        </w:tc>
      </w:tr>
      <w:tr w:rsidR="00956FE6">
        <w:trPr>
          <w:trHeight w:val="347"/>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部门：安平县食品和市场监督管理局</w:t>
            </w:r>
          </w:p>
        </w:tc>
        <w:tc>
          <w:tcPr>
            <w:tcW w:w="1527" w:type="dxa"/>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956FE6">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956FE6">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956FE6">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r>
      <w:tr w:rsidR="00956FE6">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956FE6">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43.3</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43</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43</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w:t>
            </w:r>
          </w:p>
        </w:tc>
      </w:tr>
      <w:tr w:rsidR="00956FE6">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956FE6">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956FE6">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r>
      <w:tr w:rsidR="00956FE6">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956FE6">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13.96</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13.96</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13.96</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r>
      <w:tr w:rsidR="00956FE6">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956FE6">
        <w:trPr>
          <w:trHeight w:val="707"/>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956FE6" w:rsidRPr="00956FE6">
              <w:rPr>
                <w:sz w:val="44"/>
              </w:rPr>
              <w:pict>
                <v:group id="_x0000_s1074" style="position:absolute;left:0;text-align:left;margin-left:-80.9pt;margin-top:-81.1pt;width:243.2pt;height:41.2pt;z-index:251664384;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v:rect id="矩形 13" o:spid="_x0000_s1076" style="position:absolute;left:4551;top:52615;width:8546;height:1175;v-text-anchor:middle"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fillcolor="#d9d9d9" stroked="f" strokeweight="2pt"/>
                  <v:rect id="矩形 14" o:spid="_x0000_s1075" style="position:absolute;left:4577;top:52890;width:8324;height:1123;v-text-anchor:middle"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956FE6">
        <w:trPr>
          <w:trHeight w:val="315"/>
        </w:trPr>
        <w:tc>
          <w:tcPr>
            <w:tcW w:w="296"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公开08表</w:t>
            </w:r>
          </w:p>
        </w:tc>
      </w:tr>
      <w:tr w:rsidR="00956FE6">
        <w:trPr>
          <w:trHeight w:val="411"/>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w:t>
            </w:r>
            <w:r>
              <w:rPr>
                <w:rFonts w:ascii="宋体" w:hAnsi="宋体" w:cs="宋体" w:hint="eastAsia"/>
                <w:color w:val="000000"/>
                <w:kern w:val="0"/>
                <w:sz w:val="18"/>
                <w:szCs w:val="18"/>
              </w:rPr>
              <w:t>安平县食品和市场监督管理局</w:t>
            </w:r>
          </w:p>
        </w:tc>
        <w:tc>
          <w:tcPr>
            <w:tcW w:w="84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56FE6">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956FE6">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r>
      <w:tr w:rsidR="00956FE6">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r>
      <w:tr w:rsidR="00956FE6">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956FE6">
            <w:pPr>
              <w:widowControl/>
              <w:adjustRightInd w:val="0"/>
              <w:spacing w:after="0" w:line="240" w:lineRule="auto"/>
              <w:jc w:val="center"/>
              <w:rPr>
                <w:rFonts w:ascii="宋体" w:hAnsi="宋体" w:cs="宋体"/>
                <w:color w:val="000000"/>
                <w:szCs w:val="21"/>
              </w:rPr>
            </w:pPr>
          </w:p>
        </w:tc>
      </w:tr>
      <w:tr w:rsidR="00956FE6">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956FE6">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b/>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pacing w:after="0" w:line="240" w:lineRule="auto"/>
              <w:jc w:val="right"/>
              <w:rPr>
                <w:rFonts w:ascii="宋体" w:hAnsi="宋体" w:cs="宋体"/>
                <w:color w:val="000000"/>
                <w:szCs w:val="21"/>
              </w:rPr>
            </w:pPr>
          </w:p>
        </w:tc>
      </w:tr>
      <w:tr w:rsidR="00956FE6">
        <w:trPr>
          <w:trHeight w:val="324"/>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pacing w:after="0" w:line="240" w:lineRule="auto"/>
              <w:jc w:val="left"/>
              <w:textAlignment w:val="center"/>
              <w:rPr>
                <w:rFonts w:ascii="宋体" w:hAnsi="宋体" w:cs="宋体"/>
                <w:color w:val="000000"/>
                <w:kern w:val="0"/>
                <w:szCs w:val="21"/>
              </w:rPr>
            </w:pPr>
            <w:r>
              <w:rPr>
                <w:rFonts w:ascii="宋体" w:hAnsi="宋体" w:cs="宋体" w:hint="eastAsia"/>
                <w:color w:val="000000"/>
                <w:kern w:val="0"/>
                <w:szCs w:val="21"/>
              </w:rPr>
              <w:t xml:space="preserve">注：本表反映部门本年度政府性基金预算财政拨款收入、支出及结转和结余情况。  </w:t>
            </w:r>
          </w:p>
          <w:p w:rsidR="00956FE6" w:rsidRDefault="00E76549">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本部门本年度无政府性基金预算财政拨款收入、支出及结转和结余情况，按要求空表列示。</w:t>
            </w:r>
            <w:r>
              <w:rPr>
                <w:rFonts w:ascii="宋体" w:hAnsi="宋体" w:cs="宋体"/>
                <w:color w:val="000000"/>
                <w:kern w:val="0"/>
                <w:szCs w:val="21"/>
              </w:rPr>
              <w:t xml:space="preserve"> </w:t>
            </w:r>
            <w:r>
              <w:rPr>
                <w:rFonts w:ascii="宋体" w:hAnsi="宋体" w:cs="宋体" w:hint="eastAsia"/>
                <w:color w:val="000000"/>
                <w:kern w:val="0"/>
                <w:szCs w:val="21"/>
              </w:rPr>
              <w:t xml:space="preserve">       </w:t>
            </w: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956FE6">
        <w:trPr>
          <w:trHeight w:val="656"/>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956FE6" w:rsidRPr="00956FE6">
              <w:rPr>
                <w:sz w:val="44"/>
              </w:rPr>
              <w:pict>
                <v:group id="_x0000_s1071" style="position:absolute;left:0;text-align:left;margin-left:-80.9pt;margin-top:-81.1pt;width:243.2pt;height:41.2pt;z-index:251665408;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v:rect id="矩形 13" o:spid="_x0000_s1073" style="position:absolute;left:4551;top:52615;width:8546;height:1175;v-text-anchor:middle"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fillcolor="#d9d9d9" stroked="f" strokeweight="2pt"/>
                  <v:rect id="矩形 14" o:spid="_x0000_s1072" style="position:absolute;left:4577;top:52890;width:8324;height:1123;v-text-anchor:middle"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956FE6">
        <w:trPr>
          <w:trHeight w:val="335"/>
        </w:trPr>
        <w:tc>
          <w:tcPr>
            <w:tcW w:w="442"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公开09表</w:t>
            </w:r>
          </w:p>
        </w:tc>
      </w:tr>
      <w:tr w:rsidR="00956FE6">
        <w:trPr>
          <w:trHeight w:val="335"/>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w:t>
            </w:r>
            <w:r>
              <w:rPr>
                <w:rFonts w:ascii="宋体" w:hAnsi="宋体" w:cs="宋体" w:hint="eastAsia"/>
                <w:color w:val="000000"/>
                <w:kern w:val="0"/>
                <w:sz w:val="20"/>
                <w:szCs w:val="20"/>
              </w:rPr>
              <w:t>安平县食品和市场监督管理局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956FE6">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956FE6">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956FE6">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956FE6">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r>
      <w:tr w:rsidR="00956FE6">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r>
      <w:tr w:rsidR="00956FE6">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r>
      <w:tr w:rsidR="00956FE6">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r>
      <w:tr w:rsidR="00956FE6">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r>
      <w:tr w:rsidR="00956FE6">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r>
      <w:tr w:rsidR="00956FE6">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spacing w:after="0" w:line="240" w:lineRule="auto"/>
              <w:jc w:val="right"/>
              <w:rPr>
                <w:rFonts w:ascii="宋体" w:hAnsi="宋体" w:cs="宋体"/>
                <w:color w:val="000000"/>
                <w:sz w:val="22"/>
                <w:szCs w:val="22"/>
              </w:rPr>
            </w:pPr>
          </w:p>
        </w:tc>
      </w:tr>
      <w:tr w:rsidR="00956FE6">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956FE6" w:rsidRDefault="00E76549">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注：本部门本年度无国有资本经营预算财政拨款支出情况，按要求空表列示。。</w:t>
            </w:r>
          </w:p>
        </w:tc>
      </w:tr>
    </w:tbl>
    <w:p w:rsidR="00956FE6" w:rsidRDefault="00956FE6">
      <w:pPr>
        <w:widowControl/>
        <w:spacing w:after="0" w:line="560" w:lineRule="exact"/>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956FE6">
        <w:trPr>
          <w:trHeight w:val="635"/>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956FE6" w:rsidRPr="00956FE6">
              <w:rPr>
                <w:sz w:val="44"/>
              </w:rPr>
              <w:pict>
                <v:group id="_x0000_s1068" style="position:absolute;left:0;text-align:left;margin-left:-80.9pt;margin-top:-81.1pt;width:243.2pt;height:41.2pt;z-index:251666432;mso-position-horizontal-relative:text;mso-position-vertical-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v:rect id="矩形 13" o:spid="_x0000_s1070" style="position:absolute;left:4551;top:52615;width:8546;height:1175;v-text-anchor:middle"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fillcolor="#d9d9d9" stroked="f" strokeweight="2pt"/>
                  <v:rect id="矩形 14" o:spid="_x0000_s1069" style="position:absolute;left:4577;top:52890;width:8324;height:1123;v-text-anchor:middle"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年度部门决算☞决算报表</w:t>
                          </w:r>
                        </w:p>
                        <w:p w:rsidR="00E76549" w:rsidRDefault="00E76549">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956FE6">
        <w:trPr>
          <w:trHeight w:val="326"/>
        </w:trPr>
        <w:tc>
          <w:tcPr>
            <w:tcW w:w="1901"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公开10表</w:t>
            </w:r>
          </w:p>
        </w:tc>
      </w:tr>
      <w:tr w:rsidR="00956FE6">
        <w:trPr>
          <w:trHeight w:val="360"/>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编制单位：安平县食品和市场监督管理局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956FE6">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956FE6">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956FE6">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r>
      <w:tr w:rsidR="00956FE6">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956FE6">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129.5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129.5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129.5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30.5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30.5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30.5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99</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99</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99</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956FE6">
        <w:trPr>
          <w:trHeight w:val="350"/>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956FE6">
        <w:trPr>
          <w:trHeight w:val="543"/>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r>
      <w:tr w:rsidR="00956FE6">
        <w:trPr>
          <w:trHeight w:val="309"/>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956FE6">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127.77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127.77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127.77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30.15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30.15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30.15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97.62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97.62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97.62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56FE6" w:rsidRDefault="00956FE6">
            <w:pPr>
              <w:widowControl/>
              <w:adjustRightInd w:val="0"/>
              <w:snapToGrid w:val="0"/>
              <w:spacing w:after="0" w:line="240" w:lineRule="auto"/>
              <w:jc w:val="right"/>
              <w:rPr>
                <w:rFonts w:ascii="宋体" w:hAnsi="宋体" w:cs="宋体"/>
                <w:color w:val="000000"/>
                <w:szCs w:val="21"/>
              </w:rPr>
            </w:pPr>
          </w:p>
        </w:tc>
      </w:tr>
      <w:tr w:rsidR="00956FE6">
        <w:trPr>
          <w:trHeight w:val="398"/>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956FE6" w:rsidRDefault="00E76549">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注：本表反映部门本年度纳入部门预算范围的政府采购预算及支出情况。     </w:t>
            </w:r>
          </w:p>
        </w:tc>
      </w:tr>
    </w:tbl>
    <w:p w:rsidR="00956FE6" w:rsidRDefault="00956FE6">
      <w:pPr>
        <w:widowControl/>
        <w:spacing w:after="0" w:line="560" w:lineRule="exact"/>
        <w:jc w:val="left"/>
        <w:rPr>
          <w:rFonts w:ascii="仿宋_GB2312" w:eastAsia="仿宋_GB2312" w:hAnsiTheme="majorEastAsia"/>
          <w:b/>
          <w:sz w:val="28"/>
          <w:szCs w:val="28"/>
          <w:highlight w:val="yellow"/>
        </w:rPr>
      </w:pPr>
    </w:p>
    <w:p w:rsidR="00956FE6" w:rsidRDefault="00956FE6"/>
    <w:p w:rsidR="00956FE6" w:rsidRDefault="00956FE6"/>
    <w:p w:rsidR="00956FE6" w:rsidRDefault="00956FE6"/>
    <w:p w:rsidR="00956FE6" w:rsidRDefault="00956FE6"/>
    <w:p w:rsidR="00956FE6" w:rsidRDefault="00E76549">
      <w:pPr>
        <w:tabs>
          <w:tab w:val="left" w:pos="1086"/>
        </w:tabs>
        <w:jc w:val="left"/>
        <w:rPr>
          <w:rFonts w:ascii="仿宋_GB2312" w:eastAsia="仿宋_GB2312" w:hAnsiTheme="majorEastAsia"/>
          <w:b/>
          <w:sz w:val="28"/>
          <w:szCs w:val="28"/>
          <w:highlight w:val="yellow"/>
        </w:rPr>
        <w:sectPr w:rsidR="00956FE6">
          <w:pgSz w:w="11906" w:h="16838"/>
          <w:pgMar w:top="2098" w:right="1474" w:bottom="1984" w:left="1588" w:header="851" w:footer="992" w:gutter="0"/>
          <w:cols w:space="0"/>
          <w:docGrid w:type="lines" w:linePitch="312"/>
        </w:sectPr>
      </w:pPr>
      <w:r>
        <w:rPr>
          <w:rFonts w:hint="eastAsia"/>
        </w:rPr>
        <w:tab/>
      </w:r>
    </w:p>
    <w:p w:rsidR="00956FE6" w:rsidRDefault="00E76549">
      <w:pPr>
        <w:rPr>
          <w:rFonts w:ascii="宋体" w:hAnsi="宋体" w:cs="ArialUnicodeMS"/>
          <w:color w:val="000000"/>
          <w:kern w:val="0"/>
        </w:rPr>
        <w:sectPr w:rsidR="00956FE6">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114300" distR="114300" simplePos="0" relativeHeight="2516367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cstate="print"/>
                    <a:stretch>
                      <a:fillRect/>
                    </a:stretch>
                  </pic:blipFill>
                  <pic:spPr>
                    <a:xfrm>
                      <a:off x="0" y="0"/>
                      <a:ext cx="7550150" cy="10680065"/>
                    </a:xfrm>
                    <a:prstGeom prst="rect">
                      <a:avLst/>
                    </a:prstGeom>
                  </pic:spPr>
                </pic:pic>
              </a:graphicData>
            </a:graphic>
          </wp:anchor>
        </w:drawing>
      </w:r>
      <w:r w:rsidR="00956FE6" w:rsidRPr="00956FE6">
        <w:rPr>
          <w:sz w:val="72"/>
        </w:rPr>
        <w:pict>
          <v:shape id="_x0000_s1067" type="#_x0000_t202" style="position:absolute;left:0;text-align:left;margin-left:-78.7pt;margin-top:232.8pt;width:596.2pt;height:159.1pt;z-index:251649024;mso-position-horizontal-relative:text;mso-position-vertical-relative:text"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filled="f" stroked="f" strokeweight=".5pt">
            <v:textbox>
              <w:txbxContent>
                <w:p w:rsidR="00E76549" w:rsidRDefault="00E76549">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第三部分</w:t>
                  </w:r>
                </w:p>
                <w:p w:rsidR="00E76549" w:rsidRDefault="00E76549">
                  <w:pPr>
                    <w:widowControl/>
                    <w:spacing w:line="1200" w:lineRule="exact"/>
                    <w:jc w:val="center"/>
                    <w:rPr>
                      <w:color w:val="FDEFBE"/>
                      <w:sz w:val="96"/>
                      <w:szCs w:val="96"/>
                    </w:rPr>
                  </w:pPr>
                  <w:r>
                    <w:rPr>
                      <w:rFonts w:asciiTheme="minorEastAsia" w:eastAsiaTheme="minorEastAsia" w:hAnsi="宋体" w:hint="eastAsia"/>
                      <w:color w:val="FDEFBE"/>
                      <w:sz w:val="96"/>
                      <w:szCs w:val="96"/>
                    </w:rPr>
                    <w:t>部门决算情况说明</w:t>
                  </w:r>
                </w:p>
              </w:txbxContent>
            </v:textbox>
          </v:shape>
        </w:pict>
      </w:r>
    </w:p>
    <w:p w:rsidR="00956FE6" w:rsidRDefault="00E76549">
      <w:pPr>
        <w:pStyle w:val="2"/>
        <w:spacing w:before="0" w:after="0" w:line="580" w:lineRule="exact"/>
        <w:ind w:firstLineChars="200" w:firstLine="640"/>
        <w:rPr>
          <w:rFonts w:ascii="黑体" w:eastAsia="黑体"/>
          <w:b w:val="0"/>
          <w:bCs w:val="0"/>
        </w:rPr>
      </w:pPr>
      <w:r>
        <w:rPr>
          <w:rFonts w:ascii="黑体" w:eastAsia="黑体" w:hint="eastAsia"/>
          <w:b w:val="0"/>
          <w:bCs w:val="0"/>
        </w:rPr>
        <w:lastRenderedPageBreak/>
        <w:t>一、收入</w:t>
      </w:r>
      <w:r>
        <w:rPr>
          <w:rFonts w:ascii="黑体" w:eastAsia="黑体" w:hAnsiTheme="minorHAnsi" w:cs="黑体" w:hint="eastAsia"/>
          <w:b w:val="0"/>
          <w:bCs w:val="0"/>
          <w:kern w:val="0"/>
        </w:rPr>
        <w:t>支</w:t>
      </w:r>
      <w:r w:rsidR="00956FE6" w:rsidRPr="00956FE6">
        <w:rPr>
          <w:sz w:val="44"/>
        </w:rPr>
        <w:pict>
          <v:group id="_x0000_s1064" style="position:absolute;left:0;text-align:left;margin-left:-7.95pt;margin-top:29.3pt;width:301.85pt;height:43.95pt;z-index:251674624;mso-position-horizontal-relative:page;mso-position-vertical-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v:rect id="矩形 13" o:spid="_x0000_s1066" style="position:absolute;left:4551;top:52615;width:8546;height:1175;v-text-anchor:middle"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fillcolor="#d9d9d9" stroked="f" strokeweight="2pt"/>
            <v:rect id="矩形 14" o:spid="_x0000_s1065" style="position:absolute;left:4577;top:52890;width:8324;height:1123;v-text-anchor:middle"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E76549" w:rsidRDefault="00E76549">
                    <w:pPr>
                      <w:jc w:val="center"/>
                    </w:pPr>
                  </w:p>
                </w:txbxContent>
              </v:textbox>
            </v:rect>
            <w10:wrap anchorx="page" anchory="page"/>
            <w10:anchorlock/>
          </v:group>
        </w:pict>
      </w:r>
      <w:r>
        <w:rPr>
          <w:rFonts w:ascii="黑体" w:eastAsia="黑体" w:hAnsiTheme="minorHAnsi" w:cs="黑体" w:hint="eastAsia"/>
          <w:b w:val="0"/>
          <w:bCs w:val="0"/>
          <w:kern w:val="0"/>
        </w:rPr>
        <w:t>出</w:t>
      </w:r>
      <w:r>
        <w:rPr>
          <w:rFonts w:ascii="黑体" w:eastAsia="黑体" w:hint="eastAsia"/>
          <w:b w:val="0"/>
          <w:bCs w:val="0"/>
        </w:rPr>
        <w:t>决算总体情况说明</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本部门2018年度收支总计（含结转和结余）</w:t>
      </w:r>
      <w:r>
        <w:rPr>
          <w:rFonts w:ascii="仿宋_GB2312" w:eastAsia="仿宋_GB2312" w:cs="DengXian-Regular" w:hint="eastAsia"/>
          <w:sz w:val="28"/>
          <w:szCs w:val="28"/>
        </w:rPr>
        <w:t>2369.41</w:t>
      </w:r>
      <w:r>
        <w:rPr>
          <w:rFonts w:ascii="仿宋_GB2312" w:eastAsia="仿宋_GB2312" w:cs="DengXian-Regular" w:hint="eastAsia"/>
          <w:sz w:val="32"/>
          <w:szCs w:val="32"/>
        </w:rPr>
        <w:t>万元。与2017年度决算相比，收入减少123.56万元，下降5.12%。支出减少96.35万元，下降3.97%，主要原因是减少开支，压缩支出。</w:t>
      </w:r>
    </w:p>
    <w:p w:rsidR="00956FE6" w:rsidRDefault="00E76549">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本部门2018年度本年收入合计2289.68万元，其中：财政拨款收2287.83万元，占99.92%；其他收入1.85万元，占0.08%。如图所示：</w:t>
      </w:r>
    </w:p>
    <w:p w:rsidR="00956FE6" w:rsidRDefault="00E76549">
      <w:pPr>
        <w:adjustRightInd w:val="0"/>
        <w:snapToGrid w:val="0"/>
        <w:spacing w:after="0" w:line="580" w:lineRule="exact"/>
        <w:ind w:firstLineChars="600" w:firstLine="1260"/>
        <w:rPr>
          <w:rFonts w:ascii="仿宋_GB2312" w:eastAsia="仿宋_GB2312" w:cs="DengXian-Regular"/>
          <w:sz w:val="32"/>
          <w:szCs w:val="32"/>
        </w:rPr>
      </w:pPr>
      <w:r>
        <w:rPr>
          <w:noProof/>
        </w:rPr>
        <w:drawing>
          <wp:anchor distT="0" distB="0" distL="114300" distR="114300" simplePos="0" relativeHeight="251641856" behindDoc="0" locked="0" layoutInCell="1" allowOverlap="1">
            <wp:simplePos x="0" y="0"/>
            <wp:positionH relativeFrom="column">
              <wp:posOffset>1338580</wp:posOffset>
            </wp:positionH>
            <wp:positionV relativeFrom="paragraph">
              <wp:posOffset>154305</wp:posOffset>
            </wp:positionV>
            <wp:extent cx="3190875" cy="2378075"/>
            <wp:effectExtent l="5080" t="4445" r="4445" b="10160"/>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56FE6" w:rsidRPr="00956FE6">
        <w:pict>
          <v:group id="_x0000_s1061" style="position:absolute;left:0;text-align:left;margin-left:73.8pt;margin-top:8.3pt;width:303.05pt;height:247.35pt;z-index:251652096;mso-position-horizontal-relative:text;mso-position-vertical-relative:text" coordorigin="6817,180097" coordsize="5156,3244203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6817;top:180097;width:5156;height:285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imagedata r:id="rId12" o:title="" croptop="1490f" cropbottom="5217f" cropleft="2131f" cropright="1218f"/>
            </v:shape>
            <v:shape id="_x0000_s1062" type="#_x0000_t202" style="position:absolute;left:7658;top:182920;width:3303;height:421"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stroked="f" strokeweight=".5pt">
              <v:textbox>
                <w:txbxContent>
                  <w:p w:rsidR="00E76549" w:rsidRDefault="00E76549">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图1</w:t>
                    </w:r>
                    <w:r>
                      <w:rPr>
                        <w:rFonts w:ascii="仿宋_GB2312" w:eastAsia="仿宋_GB2312" w:cs="DengXian-Regular" w:hint="eastAsia"/>
                        <w:sz w:val="28"/>
                        <w:szCs w:val="28"/>
                      </w:rPr>
                      <w:t>：收入构成情况</w:t>
                    </w:r>
                  </w:p>
                  <w:p w:rsidR="00E76549" w:rsidRDefault="00E76549">
                    <w:pPr>
                      <w:rPr>
                        <w:sz w:val="20"/>
                        <w:szCs w:val="22"/>
                      </w:rPr>
                    </w:pPr>
                  </w:p>
                </w:txbxContent>
              </v:textbox>
            </v:shape>
          </v:group>
        </w:pict>
      </w:r>
    </w:p>
    <w:p w:rsidR="00956FE6" w:rsidRDefault="00956FE6">
      <w:pPr>
        <w:adjustRightInd w:val="0"/>
        <w:snapToGrid w:val="0"/>
        <w:spacing w:after="0" w:line="580" w:lineRule="exact"/>
        <w:ind w:firstLineChars="600" w:firstLine="1920"/>
        <w:rPr>
          <w:rFonts w:ascii="仿宋_GB2312" w:eastAsia="仿宋_GB2312" w:cs="DengXian-Regular"/>
          <w:sz w:val="32"/>
          <w:szCs w:val="32"/>
        </w:rPr>
      </w:pPr>
    </w:p>
    <w:p w:rsidR="00956FE6" w:rsidRDefault="00956FE6">
      <w:pPr>
        <w:adjustRightInd w:val="0"/>
        <w:snapToGrid w:val="0"/>
        <w:spacing w:after="0" w:line="580" w:lineRule="exact"/>
        <w:ind w:firstLineChars="600" w:firstLine="1920"/>
        <w:rPr>
          <w:rFonts w:ascii="仿宋_GB2312" w:eastAsia="仿宋_GB2312" w:cs="DengXian-Regular"/>
          <w:sz w:val="32"/>
          <w:szCs w:val="32"/>
        </w:rPr>
      </w:pPr>
    </w:p>
    <w:p w:rsidR="00956FE6" w:rsidRDefault="00956FE6">
      <w:pPr>
        <w:adjustRightInd w:val="0"/>
        <w:snapToGrid w:val="0"/>
        <w:spacing w:after="0" w:line="580" w:lineRule="exact"/>
        <w:ind w:firstLineChars="600" w:firstLine="1920"/>
        <w:rPr>
          <w:rFonts w:ascii="仿宋_GB2312" w:eastAsia="仿宋_GB2312" w:cs="DengXian-Regular"/>
          <w:sz w:val="32"/>
          <w:szCs w:val="32"/>
        </w:rPr>
      </w:pPr>
    </w:p>
    <w:p w:rsidR="00956FE6" w:rsidRDefault="00956FE6">
      <w:pPr>
        <w:adjustRightInd w:val="0"/>
        <w:snapToGrid w:val="0"/>
        <w:spacing w:after="0" w:line="580" w:lineRule="exact"/>
        <w:ind w:firstLineChars="600" w:firstLine="1920"/>
        <w:rPr>
          <w:rFonts w:ascii="仿宋_GB2312" w:eastAsia="仿宋_GB2312" w:cs="DengXian-Regular"/>
          <w:sz w:val="32"/>
          <w:szCs w:val="32"/>
        </w:rPr>
      </w:pPr>
    </w:p>
    <w:p w:rsidR="00956FE6" w:rsidRDefault="00956FE6">
      <w:pPr>
        <w:pStyle w:val="2"/>
        <w:spacing w:before="0" w:after="0" w:line="580" w:lineRule="exact"/>
        <w:ind w:firstLineChars="200" w:firstLine="643"/>
        <w:rPr>
          <w:rFonts w:ascii="黑体" w:eastAsia="黑体"/>
        </w:rPr>
      </w:pPr>
    </w:p>
    <w:p w:rsidR="00956FE6" w:rsidRDefault="00956FE6">
      <w:pPr>
        <w:pStyle w:val="2"/>
        <w:spacing w:before="0" w:after="0" w:line="580" w:lineRule="exact"/>
        <w:ind w:firstLineChars="200" w:firstLine="643"/>
        <w:rPr>
          <w:rFonts w:ascii="黑体" w:eastAsia="黑体"/>
        </w:rPr>
      </w:pPr>
    </w:p>
    <w:p w:rsidR="00956FE6" w:rsidRDefault="00E76549">
      <w:pPr>
        <w:pStyle w:val="2"/>
        <w:spacing w:before="0" w:after="0" w:line="580" w:lineRule="exact"/>
        <w:rPr>
          <w:rFonts w:ascii="黑体" w:eastAsia="黑体"/>
        </w:rPr>
      </w:pPr>
      <w:r>
        <w:rPr>
          <w:rFonts w:ascii="黑体" w:eastAsia="黑体" w:hint="eastAsia"/>
        </w:rPr>
        <w:t xml:space="preserve">   </w:t>
      </w:r>
    </w:p>
    <w:p w:rsidR="00956FE6" w:rsidRDefault="00956FE6">
      <w:pPr>
        <w:pStyle w:val="2"/>
        <w:spacing w:before="0" w:after="0" w:line="580" w:lineRule="exact"/>
        <w:ind w:firstLineChars="200" w:firstLine="640"/>
        <w:rPr>
          <w:rFonts w:ascii="黑体" w:eastAsia="黑体"/>
          <w:b w:val="0"/>
          <w:bCs w:val="0"/>
        </w:rPr>
      </w:pPr>
    </w:p>
    <w:p w:rsidR="00956FE6" w:rsidRDefault="00956FE6">
      <w:pPr>
        <w:pStyle w:val="2"/>
        <w:spacing w:before="0" w:after="0" w:line="580" w:lineRule="exact"/>
        <w:ind w:firstLineChars="200" w:firstLine="640"/>
        <w:rPr>
          <w:rFonts w:ascii="黑体" w:eastAsia="黑体"/>
          <w:b w:val="0"/>
          <w:bCs w:val="0"/>
        </w:rPr>
      </w:pPr>
    </w:p>
    <w:p w:rsidR="00956FE6" w:rsidRDefault="00956FE6">
      <w:pPr>
        <w:pStyle w:val="2"/>
        <w:spacing w:before="0" w:after="0" w:line="580" w:lineRule="exact"/>
        <w:ind w:firstLineChars="200" w:firstLine="640"/>
        <w:rPr>
          <w:rFonts w:ascii="黑体" w:eastAsia="黑体"/>
          <w:b w:val="0"/>
          <w:bCs w:val="0"/>
        </w:rPr>
      </w:pPr>
    </w:p>
    <w:p w:rsidR="00956FE6" w:rsidRDefault="00E76549">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本部门2018年度本年支出合计2324.56万元，其中：基本支出1920.07万元，占82.60%；项目支出412.68万元，占17.40%。如图所示：</w:t>
      </w:r>
    </w:p>
    <w:p w:rsidR="00956FE6" w:rsidRDefault="00956FE6">
      <w:pPr>
        <w:adjustRightInd w:val="0"/>
        <w:snapToGrid w:val="0"/>
        <w:spacing w:after="0" w:line="580" w:lineRule="exact"/>
        <w:ind w:firstLineChars="600" w:firstLine="1260"/>
        <w:rPr>
          <w:rFonts w:ascii="仿宋_GB2312" w:eastAsia="仿宋_GB2312" w:cs="DengXian-Regular"/>
          <w:sz w:val="32"/>
          <w:szCs w:val="32"/>
        </w:rPr>
      </w:pPr>
      <w:r w:rsidRPr="00956FE6">
        <w:pict>
          <v:group id="_x0000_s1058" style="position:absolute;left:0;text-align:left;margin-left:59.55pt;margin-top:6.75pt;width:274.45pt;height:230.55pt;z-index:-251665408" coordorigin="7032,190738" coordsize="4600,3607203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v:shape id="_x0000_s1060" type="#_x0000_t75" style="position:absolute;left:7032;top:190738;width:4600;height:2947"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imagedata r:id="rId12" o:title="" croptop="1490f" cropbottom="5217f" cropleft="2131f" cropright="1218f"/>
            </v:shape>
            <v:shape id="_x0000_s1059" type="#_x0000_t202" style="position:absolute;left:7289;top:193685;width:4169;height:66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stroked="f" strokeweight=".5pt">
              <v:textbox>
                <w:txbxContent>
                  <w:p w:rsidR="00E76549" w:rsidRDefault="00E76549">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图2</w:t>
                    </w:r>
                    <w:r>
                      <w:rPr>
                        <w:rFonts w:ascii="仿宋_GB2312" w:eastAsia="仿宋_GB2312" w:cs="DengXian-Regular" w:hint="eastAsia"/>
                        <w:sz w:val="28"/>
                        <w:szCs w:val="28"/>
                      </w:rPr>
                      <w:t>：支出构成情况（按支出性质）</w:t>
                    </w:r>
                  </w:p>
                  <w:p w:rsidR="00E76549" w:rsidRDefault="00E76549">
                    <w:pPr>
                      <w:rPr>
                        <w:sz w:val="20"/>
                        <w:szCs w:val="22"/>
                      </w:rPr>
                    </w:pPr>
                  </w:p>
                </w:txbxContent>
              </v:textbox>
            </v:shape>
          </v:group>
        </w:pict>
      </w:r>
    </w:p>
    <w:p w:rsidR="00956FE6" w:rsidRDefault="00956FE6">
      <w:pPr>
        <w:adjustRightInd w:val="0"/>
        <w:snapToGrid w:val="0"/>
        <w:spacing w:after="0" w:line="580" w:lineRule="exact"/>
        <w:ind w:firstLineChars="600" w:firstLine="2640"/>
        <w:rPr>
          <w:rFonts w:ascii="仿宋_GB2312" w:eastAsia="仿宋_GB2312" w:cs="DengXian-Regular"/>
          <w:sz w:val="32"/>
          <w:szCs w:val="32"/>
        </w:rPr>
      </w:pPr>
      <w:r w:rsidRPr="00956FE6">
        <w:rPr>
          <w:sz w:val="44"/>
        </w:rPr>
        <w:pict>
          <v:group id="_x0000_s1055" style="position:absolute;left:0;text-align:left;margin-left:-7.95pt;margin-top:29.3pt;width:301.85pt;height:43.95pt;z-index:251667456;mso-position-horizontal-relative:page;mso-position-vertical-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v:rect id="矩形 13" o:spid="_x0000_s1057" style="position:absolute;left:4551;top:52615;width:8546;height:1175;v-text-anchor:middle"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fillcolor="#d9d9d9" stroked="f" strokeweight="2pt"/>
            <v:rect id="矩形 14" o:spid="_x0000_s1056" style="position:absolute;left:4577;top:52890;width:8324;height:1123;v-text-anchor:middle"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E76549" w:rsidRDefault="00E76549">
                    <w:pPr>
                      <w:jc w:val="center"/>
                    </w:pPr>
                  </w:p>
                </w:txbxContent>
              </v:textbox>
            </v:rect>
            <w10:wrap anchorx="page" anchory="page"/>
            <w10:anchorlock/>
          </v:group>
        </w:pict>
      </w:r>
    </w:p>
    <w:p w:rsidR="00956FE6" w:rsidRDefault="00E76549">
      <w:pPr>
        <w:adjustRightInd w:val="0"/>
        <w:snapToGrid w:val="0"/>
        <w:spacing w:after="0" w:line="580" w:lineRule="exact"/>
        <w:ind w:firstLineChars="600" w:firstLine="1920"/>
        <w:rPr>
          <w:rFonts w:ascii="仿宋_GB2312" w:eastAsia="仿宋_GB2312" w:cs="DengXian-Regular"/>
          <w:sz w:val="32"/>
          <w:szCs w:val="32"/>
        </w:rPr>
      </w:pPr>
      <w:r>
        <w:rPr>
          <w:rFonts w:ascii="仿宋_GB2312" w:eastAsia="仿宋_GB2312" w:cs="DengXian-Regular" w:hint="eastAsia"/>
          <w:noProof/>
          <w:sz w:val="32"/>
          <w:szCs w:val="32"/>
        </w:rPr>
        <w:drawing>
          <wp:anchor distT="0" distB="0" distL="114300" distR="114300" simplePos="0" relativeHeight="251642880" behindDoc="0" locked="0" layoutInCell="1" allowOverlap="1">
            <wp:simplePos x="0" y="0"/>
            <wp:positionH relativeFrom="column">
              <wp:posOffset>410845</wp:posOffset>
            </wp:positionH>
            <wp:positionV relativeFrom="paragraph">
              <wp:posOffset>-338455</wp:posOffset>
            </wp:positionV>
            <wp:extent cx="3793490" cy="2172335"/>
            <wp:effectExtent l="5080" t="5080" r="11430" b="17145"/>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56FE6" w:rsidRDefault="00956FE6">
      <w:pPr>
        <w:adjustRightInd w:val="0"/>
        <w:snapToGrid w:val="0"/>
        <w:spacing w:after="0" w:line="580" w:lineRule="exact"/>
        <w:ind w:firstLineChars="600" w:firstLine="1920"/>
        <w:rPr>
          <w:rFonts w:ascii="仿宋_GB2312" w:eastAsia="仿宋_GB2312" w:cs="DengXian-Regular"/>
          <w:sz w:val="32"/>
          <w:szCs w:val="32"/>
        </w:rPr>
      </w:pPr>
    </w:p>
    <w:p w:rsidR="00956FE6" w:rsidRDefault="00956FE6">
      <w:pPr>
        <w:pStyle w:val="2"/>
        <w:spacing w:before="0" w:after="0" w:line="580" w:lineRule="exact"/>
        <w:ind w:firstLineChars="200" w:firstLine="640"/>
        <w:rPr>
          <w:rFonts w:ascii="黑体" w:eastAsia="黑体"/>
          <w:b w:val="0"/>
          <w:bCs w:val="0"/>
        </w:rPr>
      </w:pPr>
    </w:p>
    <w:p w:rsidR="00956FE6" w:rsidRDefault="00956FE6">
      <w:pPr>
        <w:pStyle w:val="2"/>
        <w:spacing w:before="0" w:after="0" w:line="580" w:lineRule="exact"/>
        <w:ind w:firstLineChars="200" w:firstLine="640"/>
        <w:rPr>
          <w:rFonts w:ascii="黑体" w:eastAsia="黑体"/>
          <w:b w:val="0"/>
          <w:bCs w:val="0"/>
        </w:rPr>
      </w:pPr>
    </w:p>
    <w:p w:rsidR="00956FE6" w:rsidRDefault="00956FE6">
      <w:pPr>
        <w:pStyle w:val="2"/>
        <w:spacing w:before="0" w:after="0" w:line="580" w:lineRule="exact"/>
        <w:ind w:firstLineChars="200" w:firstLine="640"/>
        <w:rPr>
          <w:rFonts w:ascii="黑体" w:eastAsia="黑体"/>
          <w:b w:val="0"/>
          <w:bCs w:val="0"/>
        </w:rPr>
      </w:pPr>
    </w:p>
    <w:p w:rsidR="00956FE6" w:rsidRDefault="00E76549">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Theme="minorHAnsi" w:cs="黑体" w:hint="eastAsia"/>
          <w:b w:val="0"/>
          <w:bCs w:val="0"/>
          <w:kern w:val="0"/>
        </w:rPr>
        <w:t>财政</w:t>
      </w:r>
      <w:r>
        <w:rPr>
          <w:rFonts w:ascii="黑体" w:eastAsia="黑体" w:hint="eastAsia"/>
          <w:b w:val="0"/>
          <w:bCs w:val="0"/>
        </w:rPr>
        <w:t>拨款收入支出决算情况说明</w:t>
      </w:r>
    </w:p>
    <w:p w:rsidR="00956FE6" w:rsidRDefault="00E76549" w:rsidP="00E76549">
      <w:pPr>
        <w:spacing w:after="0" w:line="580" w:lineRule="exact"/>
        <w:ind w:firstLineChars="200" w:firstLine="641"/>
        <w:rPr>
          <w:rFonts w:ascii="楷体_GB2312" w:eastAsia="楷体_GB2312" w:cs="DengXian-Bold"/>
          <w:b/>
          <w:bCs/>
          <w:sz w:val="32"/>
          <w:szCs w:val="32"/>
        </w:rPr>
      </w:pPr>
      <w:r>
        <w:rPr>
          <w:rFonts w:ascii="楷体_GB2312" w:eastAsia="楷体_GB2312" w:cs="DengXian-Bold" w:hint="eastAsia"/>
          <w:b/>
          <w:bCs/>
          <w:sz w:val="32"/>
          <w:szCs w:val="32"/>
        </w:rPr>
        <w:t>（一）财政拨款收支与2017 年度决算对比情况</w:t>
      </w:r>
    </w:p>
    <w:p w:rsidR="00956FE6" w:rsidRDefault="00E76549">
      <w:pPr>
        <w:widowControl/>
        <w:spacing w:after="0" w:line="588"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lastRenderedPageBreak/>
        <w:t>本部门2018年度形成的财政拨款收支均为一般公共预算财政拨款，其中一般公共预算财政拨款本年收入2287.83万元,比2017年度减少31.87万元，降低1.37%，主要是财政拨款减少；本年支出2324.56万元，增加142.32万元，增长6.52%，主要是基本支出增加。财政拨款收入决算总计中含年初财政拨款结转和结余72.93万元，财政拨款支出总计中含年末财政拨款结转和结余 36.2万元。</w:t>
      </w:r>
    </w:p>
    <w:p w:rsidR="00956FE6" w:rsidRDefault="00956FE6">
      <w:pPr>
        <w:widowControl/>
        <w:spacing w:after="0" w:line="588" w:lineRule="exact"/>
        <w:ind w:firstLineChars="200" w:firstLine="640"/>
        <w:rPr>
          <w:rFonts w:ascii="仿宋_GB2312" w:eastAsia="仿宋_GB2312" w:cs="DengXian-Regular"/>
          <w:sz w:val="32"/>
          <w:szCs w:val="32"/>
        </w:rPr>
      </w:pPr>
    </w:p>
    <w:p w:rsidR="00956FE6" w:rsidRDefault="00E76549">
      <w:pPr>
        <w:widowControl/>
        <w:spacing w:after="0" w:line="588" w:lineRule="exact"/>
        <w:ind w:firstLineChars="200" w:firstLine="640"/>
        <w:rPr>
          <w:rFonts w:ascii="仿宋_GB2312" w:eastAsia="仿宋_GB2312" w:cs="DengXian-Regular"/>
          <w:sz w:val="32"/>
          <w:szCs w:val="32"/>
        </w:rPr>
      </w:pPr>
      <w:r>
        <w:rPr>
          <w:rFonts w:ascii="仿宋_GB2312" w:eastAsia="仿宋_GB2312" w:cs="DengXian-Regular" w:hint="eastAsia"/>
          <w:noProof/>
          <w:sz w:val="32"/>
          <w:szCs w:val="32"/>
        </w:rPr>
        <w:drawing>
          <wp:anchor distT="0" distB="0" distL="114300" distR="114300" simplePos="0" relativeHeight="251643904" behindDoc="0" locked="0" layoutInCell="1" allowOverlap="1">
            <wp:simplePos x="0" y="0"/>
            <wp:positionH relativeFrom="column">
              <wp:posOffset>502285</wp:posOffset>
            </wp:positionH>
            <wp:positionV relativeFrom="paragraph">
              <wp:posOffset>16510</wp:posOffset>
            </wp:positionV>
            <wp:extent cx="4660900" cy="3238500"/>
            <wp:effectExtent l="4445" t="4445" r="13335" b="18415"/>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56FE6" w:rsidRDefault="00956FE6" w:rsidP="00E76549">
      <w:pPr>
        <w:spacing w:after="0" w:line="580" w:lineRule="exact"/>
        <w:ind w:firstLineChars="200" w:firstLine="641"/>
        <w:rPr>
          <w:rFonts w:ascii="楷体_GB2312" w:eastAsia="楷体_GB2312" w:cs="DengXian-Bold"/>
          <w:b/>
          <w:bCs/>
          <w:sz w:val="32"/>
          <w:szCs w:val="32"/>
        </w:rPr>
      </w:pPr>
    </w:p>
    <w:p w:rsidR="00956FE6" w:rsidRDefault="00956FE6" w:rsidP="00E76549">
      <w:pPr>
        <w:spacing w:after="0" w:line="580" w:lineRule="exact"/>
        <w:ind w:firstLineChars="200" w:firstLine="641"/>
        <w:rPr>
          <w:rFonts w:ascii="楷体_GB2312" w:eastAsia="楷体_GB2312" w:cs="DengXian-Bold"/>
          <w:b/>
          <w:bCs/>
          <w:sz w:val="32"/>
          <w:szCs w:val="32"/>
        </w:rPr>
      </w:pPr>
    </w:p>
    <w:p w:rsidR="00956FE6" w:rsidRDefault="00956FE6" w:rsidP="00E76549">
      <w:pPr>
        <w:spacing w:after="0" w:line="580" w:lineRule="exact"/>
        <w:ind w:firstLineChars="200" w:firstLine="641"/>
        <w:rPr>
          <w:rFonts w:ascii="楷体_GB2312" w:eastAsia="楷体_GB2312" w:cs="DengXian-Bold"/>
          <w:b/>
          <w:bCs/>
          <w:sz w:val="32"/>
          <w:szCs w:val="32"/>
        </w:rPr>
      </w:pPr>
    </w:p>
    <w:p w:rsidR="00956FE6" w:rsidRDefault="00E76549" w:rsidP="00E76549">
      <w:pPr>
        <w:spacing w:after="0" w:line="580" w:lineRule="exact"/>
        <w:ind w:firstLineChars="200" w:firstLine="641"/>
        <w:rPr>
          <w:rFonts w:ascii="仿宋_GB2312" w:eastAsia="仿宋_GB2312" w:cs="DengXian-Bold"/>
          <w:b/>
          <w:bCs/>
          <w:sz w:val="32"/>
          <w:szCs w:val="32"/>
        </w:rPr>
      </w:pPr>
      <w:r>
        <w:rPr>
          <w:rFonts w:ascii="楷体_GB2312" w:eastAsia="楷体_GB2312" w:cs="DengXian-Bold" w:hint="eastAsia"/>
          <w:b/>
          <w:bCs/>
          <w:sz w:val="32"/>
          <w:szCs w:val="32"/>
        </w:rPr>
        <w:t>（二）财政拨款收支与年初预算数对比情况</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本部门2018年度一般公共预算财政拨款收入2287.83万元，完成年初预算的100%,与年初预算持平，决算数等于预算数；本年支出2324.56万元，完成年初预算的100%,与年初预</w:t>
      </w:r>
      <w:r>
        <w:rPr>
          <w:rFonts w:ascii="仿宋_GB2312" w:eastAsia="仿宋_GB2312" w:cs="DengXian-Regular" w:hint="eastAsia"/>
          <w:sz w:val="32"/>
          <w:szCs w:val="32"/>
        </w:rPr>
        <w:lastRenderedPageBreak/>
        <w:t>算数持平，决算数等于预算数。</w:t>
      </w:r>
    </w:p>
    <w:p w:rsidR="00956FE6" w:rsidRDefault="00E76549">
      <w:pPr>
        <w:adjustRightInd w:val="0"/>
        <w:snapToGrid w:val="0"/>
        <w:spacing w:after="0" w:line="580" w:lineRule="exact"/>
        <w:ind w:firstLineChars="200" w:firstLine="420"/>
        <w:rPr>
          <w:rFonts w:ascii="仿宋_GB2312" w:eastAsia="仿宋_GB2312" w:cs="DengXian-Regular"/>
          <w:sz w:val="32"/>
          <w:szCs w:val="32"/>
          <w:highlight w:val="yellow"/>
        </w:rPr>
      </w:pPr>
      <w:r>
        <w:rPr>
          <w:noProof/>
        </w:rPr>
        <w:drawing>
          <wp:anchor distT="0" distB="0" distL="114300" distR="114300" simplePos="0" relativeHeight="251644928" behindDoc="0" locked="0" layoutInCell="1" allowOverlap="1">
            <wp:simplePos x="0" y="0"/>
            <wp:positionH relativeFrom="column">
              <wp:posOffset>521970</wp:posOffset>
            </wp:positionH>
            <wp:positionV relativeFrom="paragraph">
              <wp:posOffset>249555</wp:posOffset>
            </wp:positionV>
            <wp:extent cx="4722495" cy="2659380"/>
            <wp:effectExtent l="5080" t="4445" r="12065" b="18415"/>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56FE6" w:rsidRDefault="00956FE6">
      <w:pPr>
        <w:adjustRightInd w:val="0"/>
        <w:snapToGrid w:val="0"/>
        <w:spacing w:after="0" w:line="580" w:lineRule="exact"/>
        <w:ind w:firstLineChars="200" w:firstLine="420"/>
        <w:rPr>
          <w:rFonts w:ascii="仿宋_GB2312" w:eastAsia="仿宋_GB2312" w:cs="DengXian-Regular"/>
          <w:sz w:val="32"/>
          <w:szCs w:val="32"/>
          <w:highlight w:val="yellow"/>
        </w:rPr>
      </w:pPr>
      <w:r w:rsidRPr="00956FE6">
        <w:pict>
          <v:group id="_x0000_s1052" style="position:absolute;left:0;text-align:left;margin-left:45.95pt;margin-top:.4pt;width:343.1pt;height:208.2pt;z-index:-251639808" coordorigin="5233,225704" coordsize="6344,3850203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v:shape id="图片 6" o:spid="_x0000_s1054" type="#_x0000_t75" style="position:absolute;left:5470;top:225704;width:5870;height:3353"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imagedata r:id="rId16" o:title=""/>
            </v:shape>
            <v:shape id="文本框 28" o:spid="_x0000_s1053" type="#_x0000_t202" style="position:absolute;left:5233;top:228834;width:6345;height:72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stroked="f" strokeweight=".5pt">
              <v:textbox>
                <w:txbxContent>
                  <w:p w:rsidR="00E76549" w:rsidRDefault="00E76549">
                    <w:pPr>
                      <w:adjustRightInd w:val="0"/>
                      <w:snapToGrid w:val="0"/>
                      <w:spacing w:line="560" w:lineRule="exact"/>
                      <w:jc w:val="center"/>
                      <w:rPr>
                        <w:rFonts w:ascii="仿宋_GB2312" w:eastAsia="仿宋_GB2312" w:cs="DengXian-Regular"/>
                        <w:sz w:val="24"/>
                      </w:rPr>
                    </w:pPr>
                    <w:r>
                      <w:rPr>
                        <w:rFonts w:ascii="仿宋_GB2312" w:eastAsia="仿宋_GB2312" w:cs="DengXian-Regular" w:hint="eastAsia"/>
                        <w:sz w:val="24"/>
                      </w:rPr>
                      <w:t>图4</w:t>
                    </w:r>
                    <w:r>
                      <w:rPr>
                        <w:rFonts w:ascii="仿宋_GB2312" w:eastAsia="仿宋_GB2312" w:cs="DengXian-Regular" w:hint="eastAsia"/>
                        <w:sz w:val="24"/>
                      </w:rPr>
                      <w:t>：财政拨款收支预决算对比情况</w:t>
                    </w:r>
                  </w:p>
                  <w:p w:rsidR="00E76549" w:rsidRDefault="00E76549">
                    <w:pPr>
                      <w:rPr>
                        <w:sz w:val="18"/>
                        <w:szCs w:val="21"/>
                      </w:rPr>
                    </w:pPr>
                  </w:p>
                </w:txbxContent>
              </v:textbox>
            </v:shape>
          </v:group>
        </w:pict>
      </w:r>
    </w:p>
    <w:p w:rsidR="00956FE6" w:rsidRDefault="00956FE6">
      <w:pPr>
        <w:adjustRightInd w:val="0"/>
        <w:snapToGrid w:val="0"/>
        <w:spacing w:after="0" w:line="580" w:lineRule="exact"/>
        <w:ind w:firstLineChars="200" w:firstLine="640"/>
        <w:rPr>
          <w:rFonts w:ascii="仿宋_GB2312" w:eastAsia="仿宋_GB2312" w:cs="DengXian-Regular"/>
          <w:sz w:val="32"/>
          <w:szCs w:val="32"/>
          <w:highlight w:val="yellow"/>
        </w:rPr>
      </w:pPr>
    </w:p>
    <w:p w:rsidR="00956FE6" w:rsidRDefault="00956FE6">
      <w:pPr>
        <w:adjustRightInd w:val="0"/>
        <w:snapToGrid w:val="0"/>
        <w:spacing w:after="0" w:line="580" w:lineRule="exact"/>
        <w:ind w:firstLineChars="200" w:firstLine="640"/>
        <w:rPr>
          <w:rFonts w:ascii="仿宋_GB2312" w:eastAsia="仿宋_GB2312" w:cs="DengXian-Regular"/>
          <w:sz w:val="32"/>
          <w:szCs w:val="32"/>
          <w:highlight w:val="yellow"/>
        </w:rPr>
      </w:pPr>
    </w:p>
    <w:p w:rsidR="00956FE6" w:rsidRDefault="00956FE6">
      <w:pPr>
        <w:adjustRightInd w:val="0"/>
        <w:snapToGrid w:val="0"/>
        <w:spacing w:after="0" w:line="580" w:lineRule="exact"/>
        <w:ind w:firstLineChars="200" w:firstLine="640"/>
        <w:rPr>
          <w:rFonts w:ascii="仿宋_GB2312" w:eastAsia="仿宋_GB2312" w:cs="DengXian-Regular"/>
          <w:sz w:val="32"/>
          <w:szCs w:val="32"/>
          <w:highlight w:val="yellow"/>
        </w:rPr>
      </w:pPr>
    </w:p>
    <w:p w:rsidR="00956FE6" w:rsidRDefault="00956FE6">
      <w:pPr>
        <w:adjustRightInd w:val="0"/>
        <w:snapToGrid w:val="0"/>
        <w:spacing w:after="0" w:line="580" w:lineRule="exact"/>
        <w:ind w:firstLineChars="200" w:firstLine="640"/>
        <w:rPr>
          <w:rFonts w:ascii="仿宋_GB2312" w:eastAsia="仿宋_GB2312" w:cs="DengXian-Regular"/>
          <w:sz w:val="32"/>
          <w:szCs w:val="32"/>
          <w:highlight w:val="yellow"/>
        </w:rPr>
      </w:pPr>
    </w:p>
    <w:p w:rsidR="00956FE6" w:rsidRDefault="00956FE6">
      <w:pPr>
        <w:adjustRightInd w:val="0"/>
        <w:snapToGrid w:val="0"/>
        <w:spacing w:after="0" w:line="580" w:lineRule="exact"/>
        <w:ind w:firstLineChars="200" w:firstLine="640"/>
        <w:rPr>
          <w:rFonts w:ascii="仿宋_GB2312" w:eastAsia="仿宋_GB2312" w:cs="DengXian-Regular"/>
          <w:sz w:val="32"/>
          <w:szCs w:val="32"/>
          <w:highlight w:val="yellow"/>
        </w:rPr>
      </w:pPr>
    </w:p>
    <w:p w:rsidR="00956FE6" w:rsidRDefault="00956FE6">
      <w:pPr>
        <w:adjustRightInd w:val="0"/>
        <w:snapToGrid w:val="0"/>
        <w:spacing w:after="0" w:line="580" w:lineRule="exact"/>
        <w:ind w:firstLineChars="200" w:firstLine="640"/>
        <w:rPr>
          <w:rFonts w:ascii="仿宋_GB2312" w:eastAsia="仿宋_GB2312" w:cs="DengXian-Regular"/>
          <w:sz w:val="32"/>
          <w:szCs w:val="32"/>
          <w:highlight w:val="yellow"/>
        </w:rPr>
      </w:pPr>
    </w:p>
    <w:p w:rsidR="00956FE6" w:rsidRDefault="00E76549">
      <w:pPr>
        <w:numPr>
          <w:ilvl w:val="0"/>
          <w:numId w:val="1"/>
        </w:num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财政拨款支出决算结构情况。</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年度财政拨款支出2324.56万元，主要用于以下方面一般公共服务（类）支出2012.43万元，占86.57%；医疗卫生与计划生育支出3121.28万元，占13.43%。</w:t>
      </w:r>
    </w:p>
    <w:p w:rsidR="00956FE6" w:rsidRDefault="00956FE6">
      <w:pPr>
        <w:adjustRightInd w:val="0"/>
        <w:snapToGrid w:val="0"/>
        <w:spacing w:after="0" w:line="580" w:lineRule="exact"/>
        <w:rPr>
          <w:rFonts w:ascii="楷体_GB2312" w:eastAsia="楷体_GB2312" w:cs="DengXian-Bold"/>
          <w:b/>
          <w:bCs/>
          <w:sz w:val="32"/>
          <w:szCs w:val="32"/>
        </w:rPr>
      </w:pPr>
      <w:r w:rsidRPr="00956FE6">
        <w:pict>
          <v:group id="_x0000_s1049" style="position:absolute;left:0;text-align:left;margin-left:86.35pt;margin-top:15.9pt;width:296.35pt;height:195.05pt;z-index:-251640832" coordorigin="6921,180284" coordsize="5331,3886203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v:shape id="图片 1" o:spid="_x0000_s1051" type="#_x0000_t75" style="position:absolute;left:7157;top:180284;width:4586;height:2988"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imagedata r:id="rId12" o:title="" croptop="1490f" cropbottom="5217f" cropleft="2131f" cropright="1218f"/>
            </v:shape>
            <v:shape id="文本框 32" o:spid="_x0000_s1050" type="#_x0000_t202" style="position:absolute;left:6921;top:183134;width:5331;height:1036"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stroked="f" strokeweight=".5pt">
              <v:textbox>
                <w:txbxContent>
                  <w:p w:rsidR="00E76549" w:rsidRDefault="00E76549">
                    <w:pPr>
                      <w:adjustRightInd w:val="0"/>
                      <w:snapToGrid w:val="0"/>
                      <w:spacing w:line="560" w:lineRule="exact"/>
                      <w:jc w:val="center"/>
                      <w:rPr>
                        <w:rFonts w:ascii="仿宋_GB2312" w:eastAsia="仿宋_GB2312" w:cs="DengXian-Regular"/>
                        <w:sz w:val="28"/>
                        <w:szCs w:val="28"/>
                      </w:rPr>
                    </w:pPr>
                    <w:r>
                      <w:rPr>
                        <w:rFonts w:ascii="仿宋_GB2312" w:eastAsia="仿宋_GB2312" w:cs="DengXian-Regular" w:hint="eastAsia"/>
                        <w:sz w:val="28"/>
                        <w:szCs w:val="28"/>
                      </w:rPr>
                      <w:t>图5</w:t>
                    </w:r>
                    <w:r>
                      <w:rPr>
                        <w:rFonts w:ascii="仿宋_GB2312" w:eastAsia="仿宋_GB2312" w:cs="DengXian-Regular" w:hint="eastAsia"/>
                        <w:sz w:val="28"/>
                        <w:szCs w:val="28"/>
                      </w:rPr>
                      <w:t>：财政拨款支出决算结构（按功能分类）</w:t>
                    </w:r>
                  </w:p>
                  <w:p w:rsidR="00E76549" w:rsidRDefault="00E76549">
                    <w:pPr>
                      <w:rPr>
                        <w:sz w:val="20"/>
                        <w:szCs w:val="22"/>
                      </w:rPr>
                    </w:pPr>
                  </w:p>
                </w:txbxContent>
              </v:textbox>
            </v:shape>
          </v:group>
        </w:pict>
      </w:r>
    </w:p>
    <w:p w:rsidR="00956FE6" w:rsidRDefault="00E76549">
      <w:pPr>
        <w:adjustRightInd w:val="0"/>
        <w:snapToGrid w:val="0"/>
        <w:spacing w:after="0" w:line="580" w:lineRule="exact"/>
        <w:rPr>
          <w:rFonts w:ascii="楷体_GB2312" w:eastAsia="楷体_GB2312" w:cs="DengXian-Bold"/>
          <w:b/>
          <w:bCs/>
          <w:sz w:val="32"/>
          <w:szCs w:val="32"/>
        </w:rPr>
      </w:pPr>
      <w:r>
        <w:rPr>
          <w:rFonts w:ascii="楷体_GB2312" w:eastAsia="楷体_GB2312" w:cs="DengXian-Bold" w:hint="eastAsia"/>
          <w:b/>
          <w:bCs/>
          <w:noProof/>
          <w:sz w:val="32"/>
          <w:szCs w:val="32"/>
        </w:rPr>
        <w:drawing>
          <wp:anchor distT="0" distB="0" distL="114300" distR="114300" simplePos="0" relativeHeight="251645952" behindDoc="0" locked="0" layoutInCell="1" allowOverlap="1">
            <wp:simplePos x="0" y="0"/>
            <wp:positionH relativeFrom="column">
              <wp:posOffset>537845</wp:posOffset>
            </wp:positionH>
            <wp:positionV relativeFrom="paragraph">
              <wp:posOffset>190500</wp:posOffset>
            </wp:positionV>
            <wp:extent cx="4363720" cy="2331720"/>
            <wp:effectExtent l="4445" t="4445" r="5715" b="1079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956FE6" w:rsidRDefault="00956FE6">
      <w:pPr>
        <w:adjustRightInd w:val="0"/>
        <w:snapToGrid w:val="0"/>
        <w:spacing w:after="0" w:line="580" w:lineRule="exact"/>
        <w:rPr>
          <w:rFonts w:ascii="楷体_GB2312" w:eastAsia="楷体_GB2312" w:cs="DengXian-Bold"/>
          <w:b/>
          <w:bCs/>
          <w:sz w:val="32"/>
          <w:szCs w:val="32"/>
        </w:rPr>
      </w:pPr>
    </w:p>
    <w:p w:rsidR="00956FE6" w:rsidRDefault="00956FE6">
      <w:pPr>
        <w:adjustRightInd w:val="0"/>
        <w:snapToGrid w:val="0"/>
        <w:spacing w:after="0" w:line="580" w:lineRule="exact"/>
        <w:ind w:leftChars="200" w:left="420"/>
        <w:rPr>
          <w:rFonts w:ascii="楷体_GB2312" w:eastAsia="楷体_GB2312" w:cs="DengXian-Bold"/>
          <w:b/>
          <w:bCs/>
          <w:sz w:val="32"/>
          <w:szCs w:val="32"/>
        </w:rPr>
      </w:pPr>
    </w:p>
    <w:p w:rsidR="00956FE6" w:rsidRDefault="00956FE6">
      <w:pPr>
        <w:adjustRightInd w:val="0"/>
        <w:snapToGrid w:val="0"/>
        <w:spacing w:after="0" w:line="580" w:lineRule="exact"/>
        <w:ind w:leftChars="200" w:left="420"/>
        <w:rPr>
          <w:rFonts w:ascii="楷体_GB2312" w:eastAsia="楷体_GB2312" w:cs="DengXian-Bold"/>
          <w:b/>
          <w:bCs/>
          <w:sz w:val="32"/>
          <w:szCs w:val="32"/>
        </w:rPr>
      </w:pPr>
    </w:p>
    <w:p w:rsidR="00956FE6" w:rsidRDefault="00956FE6">
      <w:pPr>
        <w:adjustRightInd w:val="0"/>
        <w:snapToGrid w:val="0"/>
        <w:spacing w:after="0" w:line="580" w:lineRule="exact"/>
        <w:ind w:leftChars="200" w:left="420"/>
        <w:rPr>
          <w:rFonts w:ascii="楷体_GB2312" w:eastAsia="楷体_GB2312" w:cs="DengXian-Bold"/>
          <w:b/>
          <w:bCs/>
          <w:sz w:val="32"/>
          <w:szCs w:val="32"/>
        </w:rPr>
      </w:pPr>
    </w:p>
    <w:p w:rsidR="00956FE6" w:rsidRDefault="00956FE6">
      <w:pPr>
        <w:adjustRightInd w:val="0"/>
        <w:snapToGrid w:val="0"/>
        <w:spacing w:after="0" w:line="580" w:lineRule="exact"/>
        <w:ind w:leftChars="200" w:left="420"/>
        <w:rPr>
          <w:rFonts w:ascii="楷体_GB2312" w:eastAsia="楷体_GB2312" w:cs="DengXian-Bold"/>
          <w:b/>
          <w:bCs/>
          <w:sz w:val="32"/>
          <w:szCs w:val="32"/>
        </w:rPr>
      </w:pPr>
    </w:p>
    <w:p w:rsidR="00956FE6" w:rsidRDefault="00956FE6">
      <w:pPr>
        <w:numPr>
          <w:ilvl w:val="0"/>
          <w:numId w:val="1"/>
        </w:numPr>
        <w:adjustRightInd w:val="0"/>
        <w:snapToGrid w:val="0"/>
        <w:spacing w:after="0" w:line="580" w:lineRule="exact"/>
        <w:ind w:leftChars="200" w:left="420"/>
        <w:rPr>
          <w:rFonts w:ascii="楷体_GB2312" w:eastAsia="楷体_GB2312" w:cs="DengXian-Bold"/>
          <w:b/>
          <w:bCs/>
          <w:sz w:val="32"/>
          <w:szCs w:val="32"/>
        </w:rPr>
      </w:pPr>
      <w:r w:rsidRPr="00956FE6">
        <w:rPr>
          <w:sz w:val="44"/>
        </w:rPr>
        <w:lastRenderedPageBreak/>
        <w:pict>
          <v:group id="_x0000_s1046" style="position:absolute;left:0;text-align:left;margin-left:-7.95pt;margin-top:29.3pt;width:301.85pt;height:43.95pt;z-index:251668480;mso-position-horizontal-relative:page;mso-position-vertical-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v:rect id="矩形 13" o:spid="_x0000_s1048" style="position:absolute;left:4551;top:52615;width:8546;height:1175;v-text-anchor:middle"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fillcolor="#d9d9d9" stroked="f" strokeweight="2pt"/>
            <v:rect id="矩形 14" o:spid="_x0000_s1047" style="position:absolute;left:4577;top:52890;width:8324;height:1123;v-text-anchor:middle"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E76549" w:rsidRDefault="00E76549">
                    <w:pPr>
                      <w:jc w:val="center"/>
                    </w:pPr>
                  </w:p>
                </w:txbxContent>
              </v:textbox>
            </v:rect>
            <w10:wrap anchorx="page" anchory="page"/>
            <w10:anchorlock/>
          </v:group>
        </w:pict>
      </w:r>
      <w:r w:rsidR="00E76549">
        <w:rPr>
          <w:rFonts w:ascii="楷体_GB2312" w:eastAsia="楷体_GB2312" w:cs="DengXian-Bold" w:hint="eastAsia"/>
          <w:b/>
          <w:bCs/>
          <w:sz w:val="32"/>
          <w:szCs w:val="32"/>
        </w:rPr>
        <w:t>一般公共预算财政拨款基本支出决算情况说明</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一般公共预算财政拨款基本支出1919.27万元，其中：人员经费1497.64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421.63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956FE6" w:rsidRDefault="00E76549">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五、一般公共预算财政拨款“三公” 经费支出决算情况说明</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 “三公”经费支出共计13.96万元，</w:t>
      </w:r>
      <w:r>
        <w:rPr>
          <w:rFonts w:ascii="仿宋_GB2312" w:eastAsia="仿宋_GB2312" w:cs="DengXian-Regular" w:hint="eastAsia"/>
          <w:b/>
          <w:bCs/>
          <w:sz w:val="32"/>
          <w:szCs w:val="32"/>
        </w:rPr>
        <w:t>较年初预算减少8.71万元，降低38.42%，</w:t>
      </w:r>
      <w:r>
        <w:rPr>
          <w:rFonts w:ascii="宋体" w:hAnsi="宋体" w:cs="宋体" w:hint="eastAsia"/>
          <w:b/>
          <w:bCs/>
          <w:sz w:val="32"/>
          <w:szCs w:val="32"/>
        </w:rPr>
        <w:t>较上年减少</w:t>
      </w:r>
      <w:r w:rsidR="004D3EDE">
        <w:rPr>
          <w:rFonts w:ascii="宋体" w:hAnsi="宋体" w:cs="宋体" w:hint="eastAsia"/>
          <w:b/>
          <w:bCs/>
          <w:sz w:val="32"/>
          <w:szCs w:val="32"/>
        </w:rPr>
        <w:t>7.9万元，降低36.7%，</w:t>
      </w:r>
      <w:r>
        <w:rPr>
          <w:rFonts w:ascii="仿宋_GB2312" w:eastAsia="仿宋_GB2312" w:cs="DengXian-Regular" w:hint="eastAsia"/>
          <w:sz w:val="32"/>
          <w:szCs w:val="32"/>
        </w:rPr>
        <w:t>主要是认真贯彻落实中央“八项规定”精神和厉行节约要求，从严控制“三公”经费开支，全年实际支出比</w:t>
      </w:r>
      <w:r>
        <w:rPr>
          <w:rFonts w:ascii="仿宋_GB2312" w:eastAsia="仿宋_GB2312" w:cs="DengXian-Regular" w:hint="eastAsia"/>
          <w:sz w:val="32"/>
          <w:szCs w:val="32"/>
        </w:rPr>
        <w:lastRenderedPageBreak/>
        <w:t>预算有所节约。具体情况如下：</w:t>
      </w:r>
    </w:p>
    <w:p w:rsidR="00956FE6" w:rsidRPr="004D3EDE" w:rsidRDefault="00E76549" w:rsidP="00E76549">
      <w:pPr>
        <w:adjustRightInd w:val="0"/>
        <w:snapToGrid w:val="0"/>
        <w:spacing w:after="0" w:line="580" w:lineRule="exact"/>
        <w:ind w:firstLineChars="200" w:firstLine="641"/>
        <w:rPr>
          <w:rFonts w:asciiTheme="majorEastAsia" w:eastAsiaTheme="majorEastAsia" w:hAnsiTheme="majorEastAsia" w:cs="DengXian-Regular"/>
          <w:sz w:val="32"/>
          <w:szCs w:val="32"/>
        </w:rPr>
      </w:pPr>
      <w:r>
        <w:rPr>
          <w:rFonts w:ascii="楷体_GB2312" w:eastAsia="楷体_GB2312" w:cs="DengXian-Bold" w:hint="eastAsia"/>
          <w:b/>
          <w:bCs/>
          <w:sz w:val="32"/>
          <w:szCs w:val="32"/>
        </w:rPr>
        <w:t>（</w:t>
      </w:r>
      <w:r w:rsidR="00956FE6" w:rsidRPr="00956FE6">
        <w:rPr>
          <w:sz w:val="44"/>
        </w:rPr>
        <w:pict>
          <v:group id="_x0000_s1043" style="position:absolute;left:0;text-align:left;margin-left:-7.95pt;margin-top:29.3pt;width:301.85pt;height:43.95pt;z-index:251669504;mso-position-horizontal-relative:page;mso-position-vertical-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v:rect id="矩形 13" o:spid="_x0000_s1045" style="position:absolute;left:4551;top:52615;width:8546;height:1175;v-text-anchor:middle"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fillcolor="#d9d9d9" stroked="f" strokeweight="2pt"/>
            <v:rect id="矩形 14" o:spid="_x0000_s1044" style="position:absolute;left:4577;top:52890;width:8324;height:1123;v-text-anchor:middle"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E76549" w:rsidRDefault="00E76549">
                    <w:pPr>
                      <w:jc w:val="center"/>
                    </w:pPr>
                  </w:p>
                </w:txbxContent>
              </v:textbox>
            </v:rect>
            <w10:wrap anchorx="page" anchory="page"/>
            <w10:anchorlock/>
          </v:group>
        </w:pict>
      </w:r>
      <w:r>
        <w:rPr>
          <w:rFonts w:ascii="楷体_GB2312" w:eastAsia="楷体_GB2312" w:cs="DengXian-Bold" w:hint="eastAsia"/>
          <w:b/>
          <w:bCs/>
          <w:sz w:val="32"/>
          <w:szCs w:val="32"/>
        </w:rPr>
        <w:t>一）因公出国（境）费支出0万元。</w:t>
      </w:r>
      <w:r>
        <w:rPr>
          <w:rFonts w:ascii="仿宋_GB2312" w:eastAsia="仿宋_GB2312" w:cs="DengXian-Regular" w:hint="eastAsia"/>
          <w:sz w:val="32"/>
          <w:szCs w:val="32"/>
        </w:rPr>
        <w:t>本部门2018年度因公出国（境）团组0个、共0人/参加其他单位组织的因公出国（境）团组0个、无本单位组织的出国（境）团组。</w:t>
      </w:r>
      <w:r w:rsidR="004D3EDE" w:rsidRPr="004D3EDE">
        <w:rPr>
          <w:rFonts w:ascii="仿宋_GB2312" w:eastAsiaTheme="minorEastAsia" w:cs="DengXian-Regular" w:hint="eastAsia"/>
          <w:sz w:val="32"/>
          <w:szCs w:val="32"/>
        </w:rPr>
        <w:t>较年初预算数持平，较上年数持平</w:t>
      </w:r>
    </w:p>
    <w:p w:rsidR="00956FE6" w:rsidRDefault="00E76549" w:rsidP="00E76549">
      <w:pPr>
        <w:adjustRightInd w:val="0"/>
        <w:snapToGrid w:val="0"/>
        <w:spacing w:after="0" w:line="580" w:lineRule="exact"/>
        <w:ind w:firstLineChars="200" w:firstLine="641"/>
        <w:rPr>
          <w:rFonts w:ascii="仿宋_GB2312" w:eastAsia="仿宋_GB2312" w:cs="DengXian-Bold"/>
          <w:b/>
          <w:bCs/>
          <w:sz w:val="32"/>
          <w:szCs w:val="32"/>
        </w:rPr>
      </w:pPr>
      <w:r>
        <w:rPr>
          <w:rFonts w:ascii="楷体_GB2312" w:eastAsia="楷体_GB2312" w:cs="DengXian-Bold" w:hint="eastAsia"/>
          <w:b/>
          <w:bCs/>
          <w:sz w:val="32"/>
          <w:szCs w:val="32"/>
        </w:rPr>
        <w:t>（二）公务用车购置及运行维护费支出1</w:t>
      </w:r>
      <w:r w:rsidR="004D3EDE">
        <w:rPr>
          <w:rFonts w:ascii="宋体" w:hAnsi="宋体" w:cs="宋体" w:hint="eastAsia"/>
          <w:b/>
          <w:bCs/>
          <w:sz w:val="32"/>
          <w:szCs w:val="32"/>
        </w:rPr>
        <w:t>3 6</w:t>
      </w:r>
      <w:r>
        <w:rPr>
          <w:rFonts w:ascii="楷体_GB2312" w:eastAsia="楷体_GB2312" w:cs="DengXian-Bold" w:hint="eastAsia"/>
          <w:b/>
          <w:bCs/>
          <w:sz w:val="32"/>
          <w:szCs w:val="32"/>
        </w:rPr>
        <w:t>3.96万元。</w:t>
      </w:r>
      <w:r>
        <w:rPr>
          <w:rFonts w:ascii="仿宋_GB2312" w:eastAsia="仿宋_GB2312" w:cs="DengXian-Regular" w:hint="eastAsia"/>
          <w:sz w:val="32"/>
          <w:szCs w:val="32"/>
        </w:rPr>
        <w:t>本部门2018年度公务用车购置及运行维护费较年初预算减少8.5万元，降低37.84%,</w:t>
      </w:r>
      <w:r w:rsidR="004D3EDE">
        <w:rPr>
          <w:rFonts w:ascii="宋体" w:hAnsi="宋体" w:cs="宋体" w:hint="eastAsia"/>
          <w:b/>
          <w:bCs/>
          <w:sz w:val="32"/>
          <w:szCs w:val="32"/>
        </w:rPr>
        <w:t>较上年减少7.9万元，降低36.7%</w:t>
      </w:r>
      <w:r>
        <w:rPr>
          <w:rFonts w:ascii="仿宋_GB2312" w:eastAsia="仿宋_GB2312" w:cs="DengXian-Regular" w:hint="eastAsia"/>
          <w:sz w:val="32"/>
          <w:szCs w:val="32"/>
        </w:rPr>
        <w:t>主要是公车改革，单位切实压缩公务用车费用支出，相应减少公务用车运行费用支出。</w:t>
      </w:r>
      <w:r>
        <w:rPr>
          <w:rFonts w:ascii="仿宋_GB2312" w:eastAsia="仿宋_GB2312" w:cs="DengXian-Bold" w:hint="eastAsia"/>
          <w:b/>
          <w:bCs/>
          <w:sz w:val="32"/>
          <w:szCs w:val="32"/>
        </w:rPr>
        <w:t>其中：</w:t>
      </w:r>
    </w:p>
    <w:p w:rsidR="00956FE6" w:rsidRPr="004D3EDE" w:rsidRDefault="00E76549" w:rsidP="004D3EDE">
      <w:pPr>
        <w:adjustRightInd w:val="0"/>
        <w:snapToGrid w:val="0"/>
        <w:spacing w:after="0" w:line="580" w:lineRule="exact"/>
        <w:ind w:firstLineChars="200" w:firstLine="641"/>
        <w:rPr>
          <w:rFonts w:asciiTheme="majorEastAsia" w:eastAsiaTheme="majorEastAsia" w:hAnsiTheme="majorEastAsia" w:cs="DengXian-Regular" w:hint="eastAsia"/>
          <w:sz w:val="32"/>
          <w:szCs w:val="32"/>
        </w:rPr>
      </w:pPr>
      <w:r>
        <w:rPr>
          <w:rFonts w:ascii="仿宋_GB2312" w:eastAsia="仿宋_GB2312" w:cs="DengXian-Regular" w:hint="eastAsia"/>
          <w:b/>
          <w:sz w:val="32"/>
          <w:szCs w:val="32"/>
        </w:rPr>
        <w:t>公务用车购置费：</w:t>
      </w:r>
      <w:r>
        <w:rPr>
          <w:rFonts w:ascii="仿宋_GB2312" w:eastAsia="仿宋_GB2312" w:cs="DengXian-Regular" w:hint="eastAsia"/>
          <w:sz w:val="32"/>
          <w:szCs w:val="32"/>
        </w:rPr>
        <w:t>本部门2018年度公务用车购置量0辆，发生“公务用车购置”经费支出0万元。本单位未发生公务用车购置经费支出。</w:t>
      </w:r>
      <w:r w:rsidR="004D3EDE" w:rsidRPr="004D3EDE">
        <w:rPr>
          <w:rFonts w:ascii="仿宋_GB2312" w:eastAsiaTheme="minorEastAsia" w:cs="DengXian-Regular" w:hint="eastAsia"/>
          <w:sz w:val="32"/>
          <w:szCs w:val="32"/>
        </w:rPr>
        <w:t>较年初预算数持平，较上年数持平</w:t>
      </w:r>
      <w:r w:rsidR="004D3EDE">
        <w:rPr>
          <w:rFonts w:ascii="仿宋_GB2312" w:eastAsiaTheme="minorEastAsia" w:cs="DengXian-Regular" w:hint="eastAsia"/>
          <w:sz w:val="32"/>
          <w:szCs w:val="32"/>
        </w:rPr>
        <w:t>。</w:t>
      </w:r>
    </w:p>
    <w:p w:rsidR="00956FE6" w:rsidRDefault="00E76549" w:rsidP="00E76549">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Regular" w:hint="eastAsia"/>
          <w:b/>
          <w:sz w:val="32"/>
          <w:szCs w:val="32"/>
        </w:rPr>
        <w:t>公务用车运行维护费：</w:t>
      </w:r>
      <w:r>
        <w:rPr>
          <w:rFonts w:ascii="仿宋_GB2312" w:eastAsia="仿宋_GB2312" w:cs="DengXian-Regular" w:hint="eastAsia"/>
          <w:sz w:val="32"/>
          <w:szCs w:val="32"/>
        </w:rPr>
        <w:t>本部门2018年度单位公务用车保有量与2017年度持平，无变化。公车运行维护费支出较年初预算减少8.5万元，降低37.84%,</w:t>
      </w:r>
      <w:r w:rsidR="004D3EDE">
        <w:rPr>
          <w:rFonts w:ascii="宋体" w:hAnsi="宋体" w:cs="宋体" w:hint="eastAsia"/>
          <w:b/>
          <w:bCs/>
          <w:sz w:val="32"/>
          <w:szCs w:val="32"/>
        </w:rPr>
        <w:t>较上年减少7.9万元，降低36.7%，</w:t>
      </w:r>
      <w:r>
        <w:rPr>
          <w:rFonts w:ascii="仿宋_GB2312" w:eastAsia="仿宋_GB2312" w:cs="DengXian-Regular" w:hint="eastAsia"/>
          <w:sz w:val="32"/>
          <w:szCs w:val="32"/>
        </w:rPr>
        <w:t>主要是公车改革之后，单位压缩公务用车费用支出，相应减少公务用车运行费用支出。</w:t>
      </w:r>
    </w:p>
    <w:p w:rsidR="00956FE6" w:rsidRDefault="00E76549" w:rsidP="00E76549">
      <w:pPr>
        <w:adjustRightInd w:val="0"/>
        <w:snapToGrid w:val="0"/>
        <w:spacing w:after="0" w:line="580" w:lineRule="exact"/>
        <w:ind w:firstLineChars="200" w:firstLine="641"/>
        <w:rPr>
          <w:rFonts w:ascii="仿宋_GB2312" w:eastAsia="仿宋_GB2312" w:cs="DengXian-Regular"/>
          <w:sz w:val="32"/>
          <w:szCs w:val="32"/>
        </w:rPr>
      </w:pPr>
      <w:r>
        <w:rPr>
          <w:rFonts w:ascii="楷体_GB2312" w:eastAsia="楷体_GB2312" w:cs="DengXian-Bold" w:hint="eastAsia"/>
          <w:b/>
          <w:bCs/>
          <w:sz w:val="32"/>
          <w:szCs w:val="32"/>
        </w:rPr>
        <w:t>公务接待费支出0万元。</w:t>
      </w:r>
      <w:r w:rsidR="00956FE6" w:rsidRPr="00956FE6">
        <w:rPr>
          <w:sz w:val="44"/>
        </w:rPr>
        <w:pict>
          <v:group id="_x0000_s1113" style="position:absolute;left:0;text-align:left;margin-left:-.15pt;margin-top:31.1pt;width:301.85pt;height:43.95pt;z-index:251680768;mso-position-horizontal-relative:page;mso-position-vertical-relative:page" coordorigin="4551,52615" coordsize="8546,1398203" o:gfxdata="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YMcpuNgAAAAIAQAADwAAAAAA&#10;AAABACAAAAAiAAAAZHJzL2Rvd25yZXYueG1sUEsBAhQAFAAAAAgAh07iQM64ViwwAwAAFgkAAA4A&#10;AAAAAAAAAQAgAAAAJwEAAGRycy9lMm9Eb2MueG1sUEsFBgAAAAAGAAYAWQEAAMkGAAAAAA==&#10;">
            <v:rect id="矩形 13" o:spid="_x0000_s1111" style="position:absolute;left:4551;top:52615;width:8546;height:1175;v-text-anchor:middle" o:gfxdata="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0RIG/&#10;AAAA2wAAAA8AAAAAAAAAAQAgAAAAIgAAAGRycy9kb3ducmV2LnhtbFBLAQIUABQAAAAIAIdO4kAz&#10;LwWeOwAAADkAAAAQAAAAAAAAAAEAIAAAAA4BAABkcnMvc2hhcGV4bWwueG1sUEsFBgAAAAAGAAYA&#10;WwEAALgDAAAAAA==&#10;" fillcolor="#b8b8b8" stroked="f" strokeweight="2pt"/>
            <v:rect id="矩形 14" o:spid="_x0000_s1112" style="position:absolute;left:4577;top:52890;width:8324;height:1123;v-text-anchor:middle" o:gfxdata="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wWkvQAA&#10;ANsAAAAPAAAAAAAAAAEAIAAAACIAAABkcnMvZG93bnJldi54bWxQSwECFAAUAAAACACHTuJAMy8F&#10;njsAAAA5AAAAEAAAAAAAAAABACAAAAAMAQAAZHJzL3NoYXBleG1sLnhtbFBLBQYAAAAABgAGAFsB&#10;AAC2AwAAAAA=&#10;" fillcolor="#ad002d" strokecolor="#264264"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lang/>
                      </w:rPr>
                      <w:t>2018</w:t>
                    </w:r>
                    <w:r>
                      <w:rPr>
                        <w:rFonts w:ascii="楷体" w:eastAsia="楷体" w:hAnsi="楷体" w:cs="楷体" w:hint="eastAsia"/>
                        <w:b/>
                        <w:bCs/>
                        <w:color w:val="FDEFBE"/>
                        <w:kern w:val="0"/>
                        <w:sz w:val="32"/>
                        <w:szCs w:val="32"/>
                        <w:lang/>
                      </w:rPr>
                      <w:t>年度部门决算☞部门决算情况说明</w:t>
                    </w:r>
                  </w:p>
                  <w:p w:rsidR="00E76549" w:rsidRDefault="00E76549">
                    <w:pPr>
                      <w:jc w:val="center"/>
                    </w:pPr>
                  </w:p>
                </w:txbxContent>
              </v:textbox>
            </v:rect>
            <w10:wrap anchorx="page" anchory="page"/>
            <w10:anchorlock/>
          </v:group>
        </w:pict>
      </w:r>
      <w:r>
        <w:rPr>
          <w:rFonts w:ascii="仿宋_GB2312" w:eastAsia="仿宋_GB2312" w:cs="DengXian-Regular" w:hint="eastAsia"/>
          <w:sz w:val="32"/>
          <w:szCs w:val="32"/>
        </w:rPr>
        <w:t>本部门2018年度公务接待0批次0人次,未发生公务接待费，公务接待</w:t>
      </w:r>
      <w:r>
        <w:rPr>
          <w:rFonts w:ascii="仿宋_GB2312" w:eastAsia="仿宋_GB2312" w:cs="DengXian-Regular" w:hint="eastAsia"/>
          <w:color w:val="000000"/>
          <w:sz w:val="32"/>
          <w:szCs w:val="32"/>
        </w:rPr>
        <w:t>经费支出与年初预算持平</w:t>
      </w:r>
      <w:r w:rsidR="004D3EDE">
        <w:rPr>
          <w:rFonts w:ascii="仿宋_GB2312" w:eastAsiaTheme="minorEastAsia" w:cs="DengXian-Regular" w:hint="eastAsia"/>
          <w:color w:val="000000"/>
          <w:sz w:val="32"/>
          <w:szCs w:val="32"/>
        </w:rPr>
        <w:t>，与上年数持平</w:t>
      </w:r>
      <w:r>
        <w:rPr>
          <w:rFonts w:ascii="仿宋_GB2312" w:eastAsia="仿宋_GB2312" w:cs="DengXian-Regular" w:hint="eastAsia"/>
          <w:color w:val="000000"/>
          <w:sz w:val="32"/>
          <w:szCs w:val="32"/>
        </w:rPr>
        <w:t>。</w:t>
      </w:r>
      <w:r w:rsidR="00956FE6" w:rsidRPr="00956FE6">
        <w:rPr>
          <w:sz w:val="44"/>
        </w:rPr>
        <w:pict>
          <v:group id="组合 85" o:spid="_x0000_s1116" style="position:absolute;left:0;text-align:left;margin-left:4.05pt;margin-top:41.3pt;width:301.85pt;height:43.95pt;z-index:251679744;mso-position-horizontal-relative:page;mso-position-vertical-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v:rect id="矩形 13" o:spid="_x0000_s1114" style="position:absolute;left:4551;top:52615;width:8546;height:1175;v-text-anchor:middle"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fillcolor="#d9d9d9" stroked="f" strokeweight="2pt"/>
            <v:rect id="矩形 14" o:spid="_x0000_s1115" style="position:absolute;left:4577;top:52890;width:8324;height:1123;v-text-anchor:middle"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lang/>
                      </w:rPr>
                      <w:t>2018</w:t>
                    </w:r>
                    <w:r>
                      <w:rPr>
                        <w:rFonts w:ascii="楷体" w:eastAsia="楷体" w:hAnsi="楷体" w:cs="楷体" w:hint="eastAsia"/>
                        <w:b/>
                        <w:bCs/>
                        <w:color w:val="FDEFBE"/>
                        <w:kern w:val="0"/>
                        <w:sz w:val="32"/>
                        <w:szCs w:val="32"/>
                        <w:lang/>
                      </w:rPr>
                      <w:t>年度部门决算☞部门决算情况说明</w:t>
                    </w:r>
                  </w:p>
                  <w:p w:rsidR="00E76549" w:rsidRDefault="00E76549">
                    <w:pPr>
                      <w:jc w:val="center"/>
                    </w:pPr>
                  </w:p>
                </w:txbxContent>
              </v:textbox>
            </v:rect>
            <w10:wrap anchorx="page" anchory="page"/>
            <w10:anchorlock/>
          </v:group>
        </w:pict>
      </w:r>
      <w:r w:rsidR="00956FE6" w:rsidRPr="00956FE6">
        <w:rPr>
          <w:sz w:val="44"/>
        </w:rPr>
        <w:pict>
          <v:group id="_x0000_s1040" style="position:absolute;left:0;text-align:left;margin-left:-7.95pt;margin-top:29.3pt;width:301.85pt;height:43.95pt;z-index:251670528;mso-position-horizontal-relative:page;mso-position-vertical-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v:rect id="矩形 13" o:spid="_x0000_s1042" style="position:absolute;left:4551;top:52615;width:8546;height:1175;v-text-anchor:middle"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fillcolor="#d9d9d9" stroked="f" strokeweight="2pt"/>
            <v:rect id="矩形 14" o:spid="_x0000_s1041" style="position:absolute;left:4577;top:52890;width:8324;height:1123;v-text-anchor:middle"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E76549" w:rsidRDefault="00E76549">
                    <w:pPr>
                      <w:jc w:val="center"/>
                    </w:pPr>
                  </w:p>
                </w:txbxContent>
              </v:textbox>
            </v:rect>
            <w10:wrap anchorx="page" anchory="page"/>
            <w10:anchorlock/>
          </v:group>
        </w:pict>
      </w:r>
    </w:p>
    <w:p w:rsidR="00956FE6" w:rsidRDefault="00E76549">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lastRenderedPageBreak/>
        <w:t>六、预算绩效情况说明</w:t>
      </w:r>
    </w:p>
    <w:p w:rsidR="00956FE6" w:rsidRDefault="00E76549">
      <w:pPr>
        <w:adjustRightInd w:val="0"/>
        <w:snapToGrid w:val="0"/>
        <w:spacing w:after="0" w:line="580" w:lineRule="exact"/>
        <w:ind w:leftChars="200" w:left="420"/>
        <w:rPr>
          <w:rFonts w:ascii="仿宋_GB2312" w:eastAsia="仿宋_GB2312" w:cs="DengXian-Regular"/>
          <w:sz w:val="32"/>
          <w:szCs w:val="32"/>
        </w:rPr>
      </w:pPr>
      <w:r>
        <w:rPr>
          <w:rFonts w:ascii="仿宋_GB2312" w:eastAsia="仿宋_GB2312" w:cs="DengXian-Regular" w:hint="eastAsia"/>
          <w:sz w:val="32"/>
          <w:szCs w:val="32"/>
        </w:rPr>
        <w:t>（一）预算绩效管理工作开展情况。</w:t>
      </w:r>
    </w:p>
    <w:p w:rsidR="00956FE6" w:rsidRDefault="00E76549">
      <w:pPr>
        <w:adjustRightInd w:val="0"/>
        <w:snapToGrid w:val="0"/>
        <w:spacing w:after="0" w:line="580" w:lineRule="exact"/>
        <w:ind w:leftChars="200" w:left="420"/>
        <w:rPr>
          <w:rFonts w:ascii="仿宋_GB2312" w:eastAsia="仿宋_GB2312" w:cs="DengXian-Regular"/>
          <w:sz w:val="32"/>
          <w:szCs w:val="32"/>
        </w:rPr>
      </w:pPr>
      <w:r>
        <w:rPr>
          <w:rFonts w:ascii="仿宋_GB2312" w:eastAsia="仿宋_GB2312" w:cs="DengXian-Regular" w:hint="eastAsia"/>
          <w:sz w:val="32"/>
          <w:szCs w:val="32"/>
        </w:rPr>
        <w:t>根据县财政预算绩效管理要求，我单位以“部门职责—工作活动”为依据，确定部门预算项目和预算额度，清晰描述预算项目开支范围和内容，确定预算项目的绩效目标、绩效指标和评价标准，为预算绩效控制、绩效分析、绩效评价打下好的基础。</w:t>
      </w:r>
    </w:p>
    <w:p w:rsidR="00956FE6" w:rsidRDefault="00E76549">
      <w:pPr>
        <w:numPr>
          <w:ilvl w:val="0"/>
          <w:numId w:val="2"/>
        </w:numPr>
        <w:adjustRightInd w:val="0"/>
        <w:snapToGrid w:val="0"/>
        <w:spacing w:after="0" w:line="580" w:lineRule="exact"/>
        <w:ind w:firstLineChars="200" w:firstLine="640"/>
        <w:rPr>
          <w:rFonts w:ascii="仿宋_GB2312" w:eastAsia="仿宋_GB2312" w:cs="DengXian-Regular"/>
          <w:sz w:val="32"/>
          <w:szCs w:val="32"/>
        </w:rPr>
      </w:pPr>
      <w:bookmarkStart w:id="0" w:name="page28"/>
      <w:bookmarkEnd w:id="0"/>
      <w:r>
        <w:rPr>
          <w:rFonts w:ascii="仿宋_GB2312" w:eastAsia="仿宋_GB2312" w:cs="DengXian-Regular" w:hint="eastAsia"/>
          <w:sz w:val="32"/>
          <w:szCs w:val="32"/>
        </w:rPr>
        <w:t>项目绩效自评结果。</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按照县财政预算绩效管理要求，我单位对 2018 年初确定的部门一般公共预算支出专项项目全面开展了绩效自评。绩效自评覆盖率达到100%。全部项目经过自评综合绩效自评为优的12个，评优率85.71%，自评为良的2个，评优率为14.29%。</w:t>
      </w:r>
    </w:p>
    <w:p w:rsidR="00956FE6" w:rsidRDefault="00E76549">
      <w:pPr>
        <w:pStyle w:val="2"/>
        <w:spacing w:before="0" w:after="0" w:line="580" w:lineRule="exact"/>
        <w:ind w:firstLineChars="200" w:firstLine="640"/>
        <w:rPr>
          <w:rFonts w:ascii="黑体" w:eastAsia="黑体" w:cs="Times New Roman"/>
          <w:b w:val="0"/>
          <w:bCs w:val="0"/>
        </w:rPr>
      </w:pPr>
      <w:r>
        <w:rPr>
          <w:rFonts w:ascii="黑体" w:eastAsia="黑体" w:cs="Times New Roman" w:hint="eastAsia"/>
          <w:b w:val="0"/>
          <w:bCs w:val="0"/>
        </w:rPr>
        <w:t>七、其他重要事项的说明</w:t>
      </w:r>
    </w:p>
    <w:p w:rsidR="00956FE6" w:rsidRDefault="00E76549" w:rsidP="00E76549">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（一）机关运行经费情况</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本部门2018年度机关运行经费支出421.63万元，比年初预算数增加170.67万元，增长68%。主要原因是公用支出增加。</w:t>
      </w:r>
    </w:p>
    <w:p w:rsidR="00956FE6" w:rsidRDefault="00E76549" w:rsidP="00E76549">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（二）政府采购情况</w:t>
      </w:r>
    </w:p>
    <w:p w:rsidR="00956FE6" w:rsidRPr="008E2BA8" w:rsidRDefault="00E76549" w:rsidP="008E2BA8">
      <w:pPr>
        <w:widowControl/>
        <w:spacing w:after="0" w:line="580" w:lineRule="exact"/>
        <w:ind w:firstLineChars="200" w:firstLine="640"/>
        <w:jc w:val="left"/>
        <w:rPr>
          <w:rFonts w:ascii="仿宋_GB2312" w:eastAsia="仿宋_GB2312" w:hAnsi="仿宋_GB2312" w:cs="仿宋_GB2312"/>
          <w:color w:val="000000"/>
          <w:kern w:val="0"/>
          <w:sz w:val="32"/>
          <w:szCs w:val="32"/>
          <w:lang/>
        </w:rPr>
      </w:pPr>
      <w:r>
        <w:rPr>
          <w:rFonts w:ascii="仿宋_GB2312" w:eastAsia="仿宋_GB2312" w:cs="DengXian-Regular" w:hint="eastAsia"/>
          <w:sz w:val="32"/>
          <w:szCs w:val="32"/>
        </w:rPr>
        <w:t>本部门2018年度政府采购支出总额127.77万元，从采购类型来看，</w:t>
      </w:r>
      <w:r>
        <w:rPr>
          <w:rFonts w:ascii="仿宋_GB2312" w:eastAsia="仿宋_GB2312" w:hAnsi="仿宋_GB2312" w:cs="仿宋_GB2312"/>
          <w:color w:val="000000"/>
          <w:kern w:val="0"/>
          <w:sz w:val="32"/>
          <w:szCs w:val="32"/>
        </w:rPr>
        <w:t>政府采购货物支出</w:t>
      </w:r>
      <w:r>
        <w:rPr>
          <w:rFonts w:ascii="仿宋_GB2312" w:eastAsia="仿宋_GB2312" w:hAnsi="仿宋_GB2312" w:cs="仿宋_GB2312" w:hint="eastAsia"/>
          <w:color w:val="000000"/>
          <w:kern w:val="0"/>
          <w:sz w:val="32"/>
          <w:szCs w:val="32"/>
        </w:rPr>
        <w:t>30.15</w:t>
      </w:r>
      <w:r>
        <w:rPr>
          <w:rFonts w:ascii="仿宋_GB2312" w:eastAsia="仿宋_GB2312" w:hAnsi="仿宋_GB2312" w:cs="仿宋_GB2312"/>
          <w:color w:val="000000"/>
          <w:kern w:val="0"/>
          <w:sz w:val="32"/>
          <w:szCs w:val="32"/>
        </w:rPr>
        <w:t>万元、政府采购工程支出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万元、政府采购服务支出</w:t>
      </w:r>
      <w:r>
        <w:rPr>
          <w:rFonts w:ascii="仿宋_GB2312" w:eastAsia="仿宋_GB2312" w:hAnsi="仿宋_GB2312" w:cs="仿宋_GB2312" w:hint="eastAsia"/>
          <w:color w:val="000000"/>
          <w:kern w:val="0"/>
          <w:sz w:val="32"/>
          <w:szCs w:val="32"/>
        </w:rPr>
        <w:t>9</w:t>
      </w:r>
      <w:r w:rsidR="00EB2C8A">
        <w:rPr>
          <w:rFonts w:ascii="宋体" w:hAnsi="宋体" w:cs="宋体" w:hint="eastAsia"/>
          <w:color w:val="000000"/>
          <w:kern w:val="0"/>
          <w:sz w:val="32"/>
          <w:szCs w:val="32"/>
        </w:rPr>
        <w:t>9</w:t>
      </w:r>
      <w:r>
        <w:rPr>
          <w:rFonts w:ascii="仿宋_GB2312" w:eastAsia="仿宋_GB2312" w:hAnsi="仿宋_GB2312" w:cs="仿宋_GB2312" w:hint="eastAsia"/>
          <w:color w:val="000000"/>
          <w:kern w:val="0"/>
          <w:sz w:val="32"/>
          <w:szCs w:val="32"/>
        </w:rPr>
        <w:t>7.62</w:t>
      </w:r>
      <w:r>
        <w:rPr>
          <w:rFonts w:ascii="仿宋_GB2312" w:eastAsia="仿宋_GB2312" w:hAnsi="仿宋_GB2312" w:cs="仿宋_GB2312"/>
          <w:color w:val="000000"/>
          <w:kern w:val="0"/>
          <w:sz w:val="32"/>
          <w:szCs w:val="32"/>
        </w:rPr>
        <w:t>万元</w:t>
      </w:r>
      <w:r>
        <w:rPr>
          <w:rFonts w:ascii="仿宋_GB2312" w:eastAsia="仿宋_GB2312" w:hAnsi="仿宋_GB2312" w:cs="仿宋_GB2312" w:hint="eastAsia"/>
          <w:color w:val="000000"/>
          <w:kern w:val="0"/>
          <w:sz w:val="32"/>
          <w:szCs w:val="32"/>
        </w:rPr>
        <w:t>，较2017年度增加</w:t>
      </w:r>
      <w:r>
        <w:rPr>
          <w:rFonts w:ascii="仿宋_GB2312" w:eastAsia="仿宋_GB2312" w:hAnsi="仿宋_GB2312" w:cs="仿宋_GB2312" w:hint="eastAsia"/>
          <w:color w:val="000000"/>
          <w:kern w:val="0"/>
          <w:sz w:val="32"/>
          <w:szCs w:val="32"/>
        </w:rPr>
        <w:lastRenderedPageBreak/>
        <w:t>61.23万元，增加47.92%，</w:t>
      </w:r>
      <w:r w:rsidR="008E2BA8">
        <w:rPr>
          <w:rFonts w:ascii="仿宋_GB2312" w:eastAsia="仿宋_GB2312" w:hAnsi="仿宋_GB2312" w:cs="仿宋_GB2312"/>
          <w:color w:val="000000"/>
          <w:kern w:val="0"/>
          <w:sz w:val="32"/>
          <w:szCs w:val="32"/>
          <w:lang/>
        </w:rPr>
        <w:t>授予中小企业合同金</w:t>
      </w:r>
      <w:r w:rsidR="008E2BA8">
        <w:rPr>
          <w:rFonts w:ascii="仿宋_GB2312" w:eastAsia="仿宋_GB2312" w:hAnsi="仿宋_GB2312" w:cs="仿宋_GB2312" w:hint="eastAsia"/>
          <w:color w:val="000000"/>
          <w:kern w:val="0"/>
          <w:sz w:val="32"/>
          <w:szCs w:val="32"/>
          <w:lang/>
        </w:rPr>
        <w:t>0</w:t>
      </w:r>
      <w:r w:rsidR="008E2BA8">
        <w:rPr>
          <w:rFonts w:ascii="仿宋_GB2312" w:eastAsia="仿宋_GB2312" w:hAnsi="仿宋_GB2312" w:cs="仿宋_GB2312"/>
          <w:color w:val="000000"/>
          <w:kern w:val="0"/>
          <w:sz w:val="32"/>
          <w:szCs w:val="32"/>
          <w:lang/>
        </w:rPr>
        <w:t>万元，占政府采购支出总额的</w:t>
      </w:r>
      <w:r w:rsidR="008E2BA8">
        <w:rPr>
          <w:rFonts w:ascii="仿宋_GB2312" w:eastAsia="仿宋_GB2312" w:hAnsi="仿宋_GB2312" w:cs="仿宋_GB2312" w:hint="eastAsia"/>
          <w:color w:val="000000"/>
          <w:kern w:val="0"/>
          <w:sz w:val="32"/>
          <w:szCs w:val="32"/>
          <w:lang/>
        </w:rPr>
        <w:t>0%，</w:t>
      </w:r>
      <w:r w:rsidR="008E2BA8">
        <w:rPr>
          <w:rFonts w:ascii="仿宋_GB2312" w:eastAsia="仿宋_GB2312" w:hAnsi="仿宋_GB2312" w:cs="仿宋_GB2312"/>
          <w:color w:val="000000"/>
          <w:kern w:val="0"/>
          <w:sz w:val="32"/>
          <w:szCs w:val="32"/>
          <w:lang/>
        </w:rPr>
        <w:t>其中授予小微企业合同金额</w:t>
      </w:r>
      <w:r w:rsidR="008E2BA8">
        <w:rPr>
          <w:rFonts w:ascii="仿宋_GB2312" w:eastAsia="仿宋_GB2312" w:hAnsi="仿宋_GB2312" w:cs="仿宋_GB2312" w:hint="eastAsia"/>
          <w:color w:val="000000"/>
          <w:kern w:val="0"/>
          <w:sz w:val="32"/>
          <w:szCs w:val="32"/>
          <w:lang/>
        </w:rPr>
        <w:t>0</w:t>
      </w:r>
      <w:r w:rsidR="008E2BA8">
        <w:rPr>
          <w:rFonts w:ascii="仿宋_GB2312" w:eastAsia="仿宋_GB2312" w:hAnsi="仿宋_GB2312" w:cs="仿宋_GB2312"/>
          <w:color w:val="000000"/>
          <w:kern w:val="0"/>
          <w:sz w:val="32"/>
          <w:szCs w:val="32"/>
          <w:lang/>
        </w:rPr>
        <w:t xml:space="preserve">万元，占政府采购支出总额的 </w:t>
      </w:r>
      <w:r w:rsidR="008E2BA8">
        <w:rPr>
          <w:rFonts w:ascii="仿宋_GB2312" w:eastAsia="仿宋_GB2312" w:hAnsi="仿宋_GB2312" w:cs="仿宋_GB2312" w:hint="eastAsia"/>
          <w:color w:val="000000"/>
          <w:kern w:val="0"/>
          <w:sz w:val="32"/>
          <w:szCs w:val="32"/>
          <w:lang/>
        </w:rPr>
        <w:t>0</w:t>
      </w:r>
      <w:r w:rsidR="008E2BA8">
        <w:rPr>
          <w:rFonts w:ascii="仿宋_GB2312" w:eastAsia="仿宋_GB2312" w:hAnsi="仿宋_GB2312" w:cs="仿宋_GB2312"/>
          <w:color w:val="000000"/>
          <w:kern w:val="0"/>
          <w:sz w:val="32"/>
          <w:szCs w:val="32"/>
          <w:lang/>
        </w:rPr>
        <w:t>%</w:t>
      </w:r>
      <w:r w:rsidR="008E2BA8">
        <w:rPr>
          <w:rFonts w:ascii="仿宋_GB2312" w:eastAsiaTheme="minorEastAsia" w:hAnsi="仿宋_GB2312" w:cs="仿宋_GB2312" w:hint="eastAsia"/>
          <w:color w:val="000000"/>
          <w:kern w:val="0"/>
          <w:sz w:val="32"/>
          <w:szCs w:val="32"/>
          <w:lang/>
        </w:rPr>
        <w:t>，</w:t>
      </w:r>
      <w:r>
        <w:rPr>
          <w:rFonts w:ascii="仿宋_GB2312" w:eastAsia="仿宋_GB2312" w:hAnsi="仿宋_GB2312" w:cs="仿宋_GB2312" w:hint="eastAsia"/>
          <w:color w:val="000000"/>
          <w:kern w:val="0"/>
          <w:sz w:val="32"/>
          <w:szCs w:val="32"/>
        </w:rPr>
        <w:t>主要原因是采购货物及服务支出增加。</w:t>
      </w:r>
    </w:p>
    <w:p w:rsidR="00956FE6" w:rsidRDefault="00E76549" w:rsidP="00E76549">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（三）国有资产占用情况</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截至2018年12月31日，本部门共有车辆14辆，与上年一致。其中主要领导干部用车8辆，执法执勤用车6辆；特种专业技术用车0辆，离退休干部用车0辆，其他用车0辆，其他用车主要是垃圾车；单位价值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万元以上通用设备0台（套），</w:t>
      </w:r>
      <w:bookmarkStart w:id="1" w:name="_GoBack"/>
      <w:bookmarkEnd w:id="1"/>
      <w:r>
        <w:rPr>
          <w:rFonts w:ascii="仿宋_GB2312" w:eastAsia="仿宋_GB2312"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万元以上通用设备和单位价值</w:t>
      </w:r>
      <w:r>
        <w:rPr>
          <w:rFonts w:ascii="仿宋_GB2312" w:eastAsia="仿宋_GB2312" w:hAnsi="TimesNewRomanPSMT" w:cs="TimesNewRomanPSMT" w:hint="eastAsia"/>
          <w:sz w:val="32"/>
          <w:szCs w:val="32"/>
        </w:rPr>
        <w:t>100</w:t>
      </w:r>
      <w:r>
        <w:rPr>
          <w:rFonts w:ascii="仿宋_GB2312" w:eastAsia="仿宋_GB2312" w:cs="DengXian-Regular" w:hint="eastAsia"/>
          <w:sz w:val="32"/>
          <w:szCs w:val="32"/>
        </w:rPr>
        <w:t>万元以上专用设备与上年持平。</w:t>
      </w:r>
    </w:p>
    <w:p w:rsidR="00956FE6" w:rsidRDefault="00E76549" w:rsidP="00E76549">
      <w:pPr>
        <w:pStyle w:val="3"/>
        <w:spacing w:before="0" w:after="0" w:line="580" w:lineRule="exact"/>
        <w:ind w:firstLineChars="200" w:firstLine="641"/>
        <w:rPr>
          <w:rFonts w:ascii="楷体_GB2312" w:eastAsia="楷体_GB2312" w:cs="DengXian-Bold"/>
        </w:rPr>
      </w:pPr>
      <w:r>
        <w:rPr>
          <w:rFonts w:ascii="楷体_GB2312" w:eastAsia="楷体_GB2312" w:cs="DengXian-Bold" w:hint="eastAsia"/>
        </w:rPr>
        <w:t>（四）其他需要说明的情况</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1、本部门2018年度政府性基金预算财政拨款收入和国有资本经营预算财政拨款支出无收支及结转结余情况，故以空表列示。</w:t>
      </w:r>
    </w:p>
    <w:p w:rsidR="00956FE6" w:rsidRDefault="00E76549">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2、由于决算公开表格中金额数值应当保留两位小数，公开数据为四舍五入计算结</w:t>
      </w:r>
      <w:r w:rsidR="00956FE6" w:rsidRPr="00956FE6">
        <w:rPr>
          <w:sz w:val="44"/>
        </w:rPr>
        <w:pict>
          <v:group id="_x0000_s1037" style="position:absolute;left:0;text-align:left;margin-left:-.55pt;margin-top:29.3pt;width:301.85pt;height:43.95pt;z-index:251671552;mso-position-horizontal-relative:page;mso-position-vertical-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v:rect id="矩形 13" o:spid="_x0000_s1039" style="position:absolute;left:4551;top:52615;width:8546;height:1175;v-text-anchor:middle"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fillcolor="#d9d9d9" stroked="f" strokeweight="2pt"/>
            <v:rect id="_x0000_s1038" style="position:absolute;left:4577;top:52890;width:8324;height:1123;v-text-anchor:middle"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年度部门决算☞部门决算情况说明</w:t>
                    </w:r>
                  </w:p>
                  <w:p w:rsidR="00E76549" w:rsidRDefault="00E76549">
                    <w:pPr>
                      <w:jc w:val="center"/>
                    </w:pPr>
                  </w:p>
                </w:txbxContent>
              </v:textbox>
            </v:rect>
            <w10:wrap anchorx="page" anchory="page"/>
            <w10:anchorlock/>
          </v:group>
        </w:pict>
      </w:r>
      <w:r>
        <w:rPr>
          <w:rFonts w:ascii="仿宋_GB2312" w:eastAsia="仿宋_GB2312" w:cs="DengXian-Regular" w:hint="eastAsia"/>
          <w:sz w:val="32"/>
          <w:szCs w:val="32"/>
        </w:rPr>
        <w:t>果，个别数据合计项与分项之和存在小数点后差额，特此说明。</w:t>
      </w:r>
    </w:p>
    <w:p w:rsidR="00956FE6" w:rsidRDefault="00956FE6">
      <w:pPr>
        <w:widowControl/>
        <w:spacing w:after="0" w:line="580" w:lineRule="exact"/>
        <w:ind w:firstLineChars="200" w:firstLine="883"/>
        <w:jc w:val="left"/>
        <w:rPr>
          <w:rFonts w:asciiTheme="majorEastAsia" w:eastAsiaTheme="majorEastAsia" w:hAnsiTheme="majorEastAsia" w:cs="MS-UIGothic,Bold"/>
          <w:b/>
          <w:bCs/>
          <w:kern w:val="0"/>
          <w:sz w:val="44"/>
          <w:szCs w:val="44"/>
        </w:rPr>
        <w:sectPr w:rsidR="00956FE6">
          <w:pgSz w:w="11906" w:h="16838"/>
          <w:pgMar w:top="2098" w:right="1474" w:bottom="1984" w:left="1588" w:header="851" w:footer="992" w:gutter="0"/>
          <w:cols w:space="0"/>
          <w:docGrid w:type="lines" w:linePitch="312"/>
        </w:sectPr>
      </w:pPr>
    </w:p>
    <w:p w:rsidR="00956FE6" w:rsidRDefault="00E76549">
      <w:pPr>
        <w:rPr>
          <w:rFonts w:ascii="宋体" w:hAnsi="宋体" w:cs="ArialUnicodeMS"/>
          <w:color w:val="000000"/>
          <w:kern w:val="0"/>
        </w:rPr>
        <w:sectPr w:rsidR="00956FE6">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114300" distR="114300" simplePos="0" relativeHeight="2516377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9" cstate="print"/>
                    <a:stretch>
                      <a:fillRect/>
                    </a:stretch>
                  </pic:blipFill>
                  <pic:spPr>
                    <a:xfrm>
                      <a:off x="0" y="0"/>
                      <a:ext cx="7550150" cy="10680065"/>
                    </a:xfrm>
                    <a:prstGeom prst="rect">
                      <a:avLst/>
                    </a:prstGeom>
                  </pic:spPr>
                </pic:pic>
              </a:graphicData>
            </a:graphic>
          </wp:anchor>
        </w:drawing>
      </w:r>
      <w:r w:rsidR="00956FE6" w:rsidRPr="00956FE6">
        <w:rPr>
          <w:sz w:val="72"/>
        </w:rPr>
        <w:pict>
          <v:shape id="_x0000_s1036" type="#_x0000_t202" style="position:absolute;left:0;text-align:left;margin-left:-78.7pt;margin-top:232.8pt;width:596.2pt;height:159.1pt;z-index:251650048;mso-position-horizontal-relative:text;mso-position-vertical-relative:text"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filled="f" stroked="f" strokeweight=".5pt">
            <v:textbox>
              <w:txbxContent>
                <w:p w:rsidR="00E76549" w:rsidRDefault="00E76549">
                  <w:pPr>
                    <w:widowControl/>
                    <w:spacing w:line="1200" w:lineRule="exact"/>
                    <w:jc w:val="center"/>
                    <w:rPr>
                      <w:rFonts w:asciiTheme="minorEastAsia" w:eastAsiaTheme="minorEastAsia" w:hAnsi="宋体"/>
                      <w:color w:val="FDEFBE"/>
                      <w:sz w:val="96"/>
                      <w:szCs w:val="96"/>
                    </w:rPr>
                  </w:pPr>
                  <w:r>
                    <w:rPr>
                      <w:rFonts w:asciiTheme="minorEastAsia" w:eastAsiaTheme="minorEastAsia" w:hAnsi="宋体" w:hint="eastAsia"/>
                      <w:color w:val="FDEFBE"/>
                      <w:sz w:val="96"/>
                      <w:szCs w:val="96"/>
                    </w:rPr>
                    <w:t>第四部分</w:t>
                  </w:r>
                </w:p>
                <w:p w:rsidR="00E76549" w:rsidRDefault="00E76549">
                  <w:pPr>
                    <w:widowControl/>
                    <w:spacing w:line="1200" w:lineRule="exact"/>
                    <w:jc w:val="center"/>
                    <w:rPr>
                      <w:color w:val="FDEFBE"/>
                      <w:sz w:val="96"/>
                      <w:szCs w:val="96"/>
                    </w:rPr>
                  </w:pPr>
                  <w:r>
                    <w:rPr>
                      <w:rFonts w:asciiTheme="minorEastAsia" w:eastAsiaTheme="minorEastAsia" w:hAnsi="宋体" w:hint="eastAsia"/>
                      <w:color w:val="FDEFBE"/>
                      <w:sz w:val="96"/>
                      <w:szCs w:val="96"/>
                    </w:rPr>
                    <w:t>名词解释</w:t>
                  </w:r>
                </w:p>
              </w:txbxContent>
            </v:textbox>
          </v:shape>
        </w:pic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lastRenderedPageBreak/>
        <w:t>（一）财政拨款收入：</w:t>
      </w:r>
      <w:r>
        <w:rPr>
          <w:rFonts w:ascii="仿宋_GB2312" w:eastAsia="仿宋_GB2312" w:hAnsiTheme="majorEastAsia" w:hint="eastAsia"/>
          <w:color w:val="000000"/>
          <w:kern w:val="0"/>
          <w:sz w:val="32"/>
          <w:szCs w:val="32"/>
        </w:rPr>
        <w:t>本年度从本级财政部门取得的财政拨款，包括一般公共预算财政拨款和政府性基金预算财政拨款。</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（二）事业收入：</w:t>
      </w:r>
      <w:r>
        <w:rPr>
          <w:rFonts w:ascii="仿宋_GB2312" w:eastAsia="仿宋_GB2312" w:hAnsiTheme="majorEastAsia" w:hint="eastAsia"/>
          <w:color w:val="000000"/>
          <w:kern w:val="0"/>
          <w:sz w:val="32"/>
          <w:szCs w:val="32"/>
        </w:rPr>
        <w:t>指事业单位开展专业业务活动及辅助活动所取得的收入。</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（三）其他收入：</w:t>
      </w:r>
      <w:r>
        <w:rPr>
          <w:rFonts w:ascii="仿宋_GB2312" w:eastAsia="仿宋_GB2312" w:hAnsiTheme="majorEastAsia" w:hint="eastAsia"/>
          <w:color w:val="000000"/>
          <w:kern w:val="0"/>
          <w:sz w:val="32"/>
          <w:szCs w:val="32"/>
        </w:rPr>
        <w:t>指除上述“财政拨款收入”“事业收入”“经营收入”等以外的收入。</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（四）用事业基金弥补收支差额：</w:t>
      </w:r>
      <w:r>
        <w:rPr>
          <w:rFonts w:ascii="仿宋_GB2312" w:eastAsia="仿宋_GB2312" w:hAnsiTheme="majorEastAsia"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（五）年初结转和结余：</w:t>
      </w:r>
      <w:r>
        <w:rPr>
          <w:rFonts w:ascii="仿宋_GB2312" w:eastAsia="仿宋_GB2312" w:hAnsiTheme="majorEastAsia" w:hint="eastAsia"/>
          <w:color w:val="000000"/>
          <w:kern w:val="0"/>
          <w:sz w:val="32"/>
          <w:szCs w:val="32"/>
        </w:rPr>
        <w:t>指以前年度尚未完成、结转到本年仍按原规定用途继续使用的资金，或项目已完成等产生的结余资金。</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（六）结余分配：</w:t>
      </w:r>
      <w:r>
        <w:rPr>
          <w:rFonts w:ascii="仿宋_GB2312" w:eastAsia="仿宋_GB2312" w:hAnsiTheme="majorEastAsia" w:hint="eastAsia"/>
          <w:color w:val="000000"/>
          <w:kern w:val="0"/>
          <w:sz w:val="32"/>
          <w:szCs w:val="32"/>
        </w:rPr>
        <w:t>指事业单位按照事业单位会计制度的规定从非财政补助结余中分配的事业基金和职工福利基金等。</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（七）年末结转和结</w:t>
      </w:r>
      <w:r w:rsidR="00956FE6" w:rsidRPr="00956FE6">
        <w:rPr>
          <w:rFonts w:ascii="仿宋_GB2312" w:eastAsia="仿宋_GB2312" w:hAnsiTheme="majorEastAsia"/>
          <w:b/>
          <w:bCs/>
          <w:color w:val="000000"/>
          <w:kern w:val="0"/>
          <w:sz w:val="32"/>
          <w:szCs w:val="32"/>
        </w:rPr>
        <w:pict>
          <v:group id="_x0000_s1033" style="position:absolute;left:0;text-align:left;margin-left:-81.05pt;margin-top:39.65pt;width:264.85pt;height:43.95pt;z-index:251654144;mso-position-horizontal-relative:text;mso-position-vertical-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v:rect id="矩形 13" o:spid="_x0000_s1035" style="position:absolute;left:4551;top:52615;width:8546;height:1175;v-text-anchor:middle"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fillcolor="#d9d9d9" stroked="f" strokeweight="2pt"/>
            <v:rect id="矩形 14" o:spid="_x0000_s1034" style="position:absolute;left:4577;top:52890;width:8324;height:1123;v-text-anchor:middle"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年度部门决算☞名词解释</w:t>
                    </w:r>
                  </w:p>
                  <w:p w:rsidR="00E76549" w:rsidRDefault="00E76549">
                    <w:pPr>
                      <w:jc w:val="center"/>
                    </w:pPr>
                  </w:p>
                </w:txbxContent>
              </v:textbox>
            </v:rect>
            <w10:wrap anchory="page"/>
            <w10:anchorlock/>
          </v:group>
        </w:pict>
      </w:r>
      <w:r>
        <w:rPr>
          <w:rFonts w:ascii="仿宋_GB2312" w:eastAsia="仿宋_GB2312" w:hAnsiTheme="majorEastAsia" w:hint="eastAsia"/>
          <w:b/>
          <w:bCs/>
          <w:color w:val="000000"/>
          <w:kern w:val="0"/>
          <w:sz w:val="32"/>
          <w:szCs w:val="32"/>
        </w:rPr>
        <w:t>余：</w:t>
      </w:r>
      <w:r>
        <w:rPr>
          <w:rFonts w:ascii="仿宋_GB2312" w:eastAsia="仿宋_GB2312" w:hAnsiTheme="majorEastAsia" w:hint="eastAsia"/>
          <w:color w:val="000000"/>
          <w:kern w:val="0"/>
          <w:sz w:val="32"/>
          <w:szCs w:val="32"/>
        </w:rPr>
        <w:t>指单位按有关规定结转到下年或以后年度继续使用的资金，或项目已完成等产生的结余资金。</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（八）基本支出：</w:t>
      </w:r>
      <w:r>
        <w:rPr>
          <w:rFonts w:ascii="仿宋_GB2312" w:eastAsia="仿宋_GB2312" w:hAnsiTheme="majorEastAsia" w:hint="eastAsia"/>
          <w:color w:val="000000"/>
          <w:kern w:val="0"/>
          <w:sz w:val="32"/>
          <w:szCs w:val="32"/>
        </w:rPr>
        <w:t>填列单位为保障机构正常运转、完成日常工作任务而发生的各项支出。</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lastRenderedPageBreak/>
        <w:t>（九）项目支出：</w:t>
      </w:r>
      <w:r>
        <w:rPr>
          <w:rFonts w:ascii="仿宋_GB2312" w:eastAsia="仿宋_GB2312" w:hAnsiTheme="majorEastAsia" w:hint="eastAsia"/>
          <w:color w:val="000000"/>
          <w:kern w:val="0"/>
          <w:sz w:val="32"/>
          <w:szCs w:val="32"/>
        </w:rPr>
        <w:t>填列单位为完成特定的行政工作任务或事业发展目标，在基本支出之外发生的各项支出</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（十）资本性支出（基本建设）：</w:t>
      </w:r>
      <w:r>
        <w:rPr>
          <w:rFonts w:ascii="仿宋_GB2312" w:eastAsia="仿宋_GB2312" w:hAnsiTheme="majorEastAsia" w:hint="eastAsia"/>
          <w:color w:val="000000"/>
          <w:kern w:val="0"/>
          <w:sz w:val="32"/>
          <w:szCs w:val="32"/>
        </w:rPr>
        <w:t>填列切块由发展改革部门安排的基本建设支出，对企业补助支出不在此科目反映。</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（十一）资本性支出：</w:t>
      </w:r>
      <w:r>
        <w:rPr>
          <w:rFonts w:ascii="仿宋_GB2312" w:eastAsia="仿宋_GB2312" w:hAnsiTheme="majorEastAsia" w:hint="eastAsia"/>
          <w:color w:val="000000"/>
          <w:kern w:val="0"/>
          <w:sz w:val="32"/>
          <w:szCs w:val="32"/>
        </w:rPr>
        <w:t>填列各单位安排的资本性支出。切块由发展改革部门安排的基本建设支出不在此科目反映。</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（十二）“三公”经费：</w:t>
      </w:r>
      <w:r>
        <w:rPr>
          <w:rFonts w:ascii="仿宋_GB2312" w:eastAsia="仿宋_GB2312" w:hAnsiTheme="majorEastAsia"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956FE6" w:rsidRPr="00956FE6">
        <w:rPr>
          <w:rFonts w:ascii="仿宋_GB2312" w:eastAsia="仿宋_GB2312" w:hAnsiTheme="majorEastAsia"/>
          <w:b/>
          <w:bCs/>
          <w:color w:val="000000"/>
          <w:kern w:val="0"/>
          <w:sz w:val="32"/>
          <w:szCs w:val="32"/>
        </w:rPr>
        <w:pict>
          <v:group id="_x0000_s1030" style="position:absolute;left:0;text-align:left;margin-left:-81.05pt;margin-top:39.65pt;width:264.85pt;height:43.95pt;z-index:251672576;mso-position-horizontal-relative:text;mso-position-vertical-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v:rect id="矩形 13" o:spid="_x0000_s1032" style="position:absolute;left:4551;top:52615;width:8546;height:1175;v-text-anchor:middle"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fillcolor="#d9d9d9" stroked="f" strokeweight="2pt"/>
            <v:rect id="矩形 14" o:spid="_x0000_s1031" style="position:absolute;left:4577;top:52890;width:8324;height:1123;v-text-anchor:middle"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年度部门决算☞名词解释</w:t>
                    </w:r>
                  </w:p>
                  <w:p w:rsidR="00E76549" w:rsidRDefault="00E76549">
                    <w:pPr>
                      <w:jc w:val="center"/>
                    </w:pPr>
                  </w:p>
                </w:txbxContent>
              </v:textbox>
            </v:rect>
            <w10:wrap anchory="page"/>
            <w10:anchorlock/>
          </v:group>
        </w:pict>
      </w:r>
      <w:r>
        <w:rPr>
          <w:rFonts w:ascii="仿宋_GB2312" w:eastAsia="仿宋_GB2312" w:hAnsiTheme="majorEastAsia" w:hint="eastAsia"/>
          <w:color w:val="000000"/>
          <w:kern w:val="0"/>
          <w:sz w:val="32"/>
          <w:szCs w:val="32"/>
        </w:rPr>
        <w:t>待费反映单位按规定开支的各类公务接待（含外宾接待）支出。</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（十三）其</w:t>
      </w:r>
      <w:r w:rsidR="00956FE6" w:rsidRPr="00956FE6">
        <w:rPr>
          <w:rFonts w:ascii="仿宋_GB2312" w:eastAsia="仿宋_GB2312" w:hAnsiTheme="majorEastAsia"/>
          <w:b/>
          <w:bCs/>
          <w:color w:val="000000"/>
          <w:kern w:val="0"/>
          <w:sz w:val="32"/>
          <w:szCs w:val="32"/>
        </w:rPr>
        <w:pict>
          <v:group id="_x0000_s1027" style="position:absolute;left:0;text-align:left;margin-left:-81.05pt;margin-top:39.65pt;width:264.85pt;height:43.95pt;z-index:251673600;mso-position-horizontal-relative:text;mso-position-vertical-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v:rect id="矩形 13" o:spid="_x0000_s1029" style="position:absolute;left:4551;top:52615;width:8546;height:1175;v-text-anchor:middle"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fillcolor="#d9d9d9" stroked="f" strokeweight="2pt"/>
            <v:rect id="矩形 14" o:spid="_x0000_s1028" style="position:absolute;left:4577;top:52890;width:8324;height:1123;v-text-anchor:middle"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fillcolor="#ad002d" strokecolor="#b0761f" strokeweight="2pt">
              <v:stroke joinstyle="round"/>
              <v:textbox>
                <w:txbxContent>
                  <w:p w:rsidR="00E76549" w:rsidRDefault="00E76549">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w:t>
                    </w:r>
                    <w:r>
                      <w:rPr>
                        <w:rFonts w:ascii="楷体" w:eastAsia="楷体" w:hAnsi="楷体" w:cs="楷体" w:hint="eastAsia"/>
                        <w:b/>
                        <w:bCs/>
                        <w:color w:val="FDEFBE"/>
                        <w:kern w:val="0"/>
                        <w:sz w:val="32"/>
                        <w:szCs w:val="32"/>
                      </w:rPr>
                      <w:t>年度部门决算☞名词解释</w:t>
                    </w:r>
                  </w:p>
                  <w:p w:rsidR="00E76549" w:rsidRDefault="00E76549">
                    <w:pPr>
                      <w:jc w:val="center"/>
                    </w:pPr>
                  </w:p>
                </w:txbxContent>
              </v:textbox>
            </v:rect>
            <w10:wrap anchory="page"/>
            <w10:anchorlock/>
          </v:group>
        </w:pict>
      </w:r>
      <w:r>
        <w:rPr>
          <w:rFonts w:ascii="仿宋_GB2312" w:eastAsia="仿宋_GB2312" w:hAnsiTheme="majorEastAsia" w:hint="eastAsia"/>
          <w:b/>
          <w:bCs/>
          <w:color w:val="000000"/>
          <w:kern w:val="0"/>
          <w:sz w:val="32"/>
          <w:szCs w:val="32"/>
        </w:rPr>
        <w:t>他交通费用：</w:t>
      </w:r>
      <w:r>
        <w:rPr>
          <w:rFonts w:ascii="仿宋_GB2312" w:eastAsia="仿宋_GB2312" w:hAnsiTheme="majorEastAsia" w:hint="eastAsia"/>
          <w:color w:val="000000"/>
          <w:kern w:val="0"/>
          <w:sz w:val="32"/>
          <w:szCs w:val="32"/>
        </w:rPr>
        <w:t>填列单位除公务用车运行维护费以外的其他交通费用。如公务交通补贴、租车费用、出租车费用、飞机、船舶等的燃料费、维修费、保险费等。</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（十四）公务用车购置：</w:t>
      </w:r>
      <w:r>
        <w:rPr>
          <w:rFonts w:ascii="仿宋_GB2312" w:eastAsia="仿宋_GB2312" w:hAnsiTheme="majorEastAsia" w:hint="eastAsia"/>
          <w:color w:val="000000"/>
          <w:kern w:val="0"/>
          <w:sz w:val="32"/>
          <w:szCs w:val="32"/>
        </w:rPr>
        <w:t>填列单位公务用车购置支出（含车辆购置税、牌照费）。</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t>（十五）其他交通工具购置：</w:t>
      </w:r>
      <w:r>
        <w:rPr>
          <w:rFonts w:ascii="仿宋_GB2312" w:eastAsia="仿宋_GB2312" w:hAnsiTheme="majorEastAsia" w:hint="eastAsia"/>
          <w:color w:val="000000"/>
          <w:kern w:val="0"/>
          <w:sz w:val="32"/>
          <w:szCs w:val="32"/>
        </w:rPr>
        <w:t>填列单位除公务用车外的其他各类交通工具（如船舶、飞机）购置支出（含车辆购置税、牌照费）。</w:t>
      </w:r>
    </w:p>
    <w:p w:rsidR="00956FE6" w:rsidRDefault="00E76549" w:rsidP="00E76549">
      <w:pPr>
        <w:widowControl/>
        <w:spacing w:after="0" w:line="560" w:lineRule="exact"/>
        <w:ind w:firstLineChars="200" w:firstLine="641"/>
        <w:rPr>
          <w:rFonts w:ascii="仿宋_GB2312" w:eastAsia="仿宋_GB2312" w:hAnsiTheme="majorEastAsia"/>
          <w:color w:val="000000"/>
          <w:kern w:val="0"/>
          <w:sz w:val="32"/>
          <w:szCs w:val="32"/>
        </w:rPr>
      </w:pPr>
      <w:r>
        <w:rPr>
          <w:rFonts w:ascii="仿宋_GB2312" w:eastAsia="仿宋_GB2312" w:hAnsiTheme="majorEastAsia" w:hint="eastAsia"/>
          <w:b/>
          <w:bCs/>
          <w:color w:val="000000"/>
          <w:kern w:val="0"/>
          <w:sz w:val="32"/>
          <w:szCs w:val="32"/>
        </w:rPr>
        <w:lastRenderedPageBreak/>
        <w:t>（十六）机关运行经费：</w:t>
      </w:r>
      <w:r>
        <w:rPr>
          <w:rFonts w:ascii="仿宋_GB2312" w:eastAsia="仿宋_GB2312" w:hAnsiTheme="majorEastAsia"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956FE6" w:rsidRDefault="00E76549" w:rsidP="00E76549">
      <w:pPr>
        <w:widowControl/>
        <w:spacing w:after="0" w:line="560" w:lineRule="exact"/>
        <w:ind w:firstLineChars="200" w:firstLine="641"/>
        <w:rPr>
          <w:rFonts w:ascii="仿宋_GB2312" w:eastAsia="仿宋_GB2312" w:hAnsiTheme="minorHAnsi" w:cs="ArialUnicodeMS"/>
          <w:kern w:val="0"/>
          <w:sz w:val="32"/>
          <w:szCs w:val="32"/>
        </w:rPr>
        <w:sectPr w:rsidR="00956FE6">
          <w:pgSz w:w="11906" w:h="16838"/>
          <w:pgMar w:top="2098" w:right="1474" w:bottom="1985" w:left="1588" w:header="851" w:footer="992" w:gutter="0"/>
          <w:cols w:space="425"/>
          <w:docGrid w:type="lines" w:linePitch="312"/>
        </w:sectPr>
      </w:pPr>
      <w:r>
        <w:rPr>
          <w:rFonts w:ascii="仿宋_GB2312" w:eastAsia="仿宋_GB2312" w:hAnsiTheme="majorEastAsia" w:hint="eastAsia"/>
          <w:b/>
          <w:bCs/>
          <w:color w:val="000000"/>
          <w:kern w:val="0"/>
          <w:sz w:val="32"/>
          <w:szCs w:val="32"/>
        </w:rPr>
        <w:t>（十七）经费形式:</w:t>
      </w:r>
      <w:r>
        <w:rPr>
          <w:rFonts w:ascii="仿宋_GB2312" w:eastAsia="仿宋_GB2312" w:hAnsiTheme="majorEastAsia" w:hint="eastAsia"/>
          <w:color w:val="000000"/>
          <w:kern w:val="0"/>
          <w:sz w:val="32"/>
          <w:szCs w:val="32"/>
        </w:rPr>
        <w:t>按照经费来源，</w:t>
      </w:r>
      <w:r>
        <w:rPr>
          <w:rFonts w:ascii="仿宋_GB2312" w:eastAsia="仿宋_GB2312" w:hAnsiTheme="minorHAnsi" w:cs="ArialUnicodeMS" w:hint="eastAsia"/>
          <w:kern w:val="0"/>
          <w:sz w:val="32"/>
          <w:szCs w:val="32"/>
        </w:rPr>
        <w:t>可分为财政拨款、财政性资金基本保证、财政性资金定额或定项补助、财政性资金零补助四类。</w:t>
      </w:r>
    </w:p>
    <w:p w:rsidR="00956FE6" w:rsidRDefault="00E76549">
      <w:pPr>
        <w:widowControl/>
        <w:spacing w:after="0" w:line="560" w:lineRule="exact"/>
        <w:ind w:firstLineChars="200" w:firstLine="640"/>
        <w:rPr>
          <w:rFonts w:ascii="仿宋_GB2312" w:eastAsia="仿宋_GB2312" w:hAnsiTheme="minorHAnsi" w:cs="ArialUnicodeMS"/>
          <w:kern w:val="0"/>
          <w:sz w:val="32"/>
          <w:szCs w:val="32"/>
        </w:rPr>
      </w:pPr>
      <w:r>
        <w:rPr>
          <w:rFonts w:ascii="仿宋_GB2312" w:eastAsia="仿宋_GB2312" w:hAnsiTheme="minorHAnsi" w:cs="ArialUnicodeMS"/>
          <w:noProof/>
          <w:kern w:val="0"/>
          <w:sz w:val="32"/>
          <w:szCs w:val="32"/>
        </w:rPr>
        <w:lastRenderedPageBreak/>
        <w:drawing>
          <wp:anchor distT="0" distB="0" distL="114300" distR="114300" simplePos="0" relativeHeight="2516387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8" cstate="print"/>
                    <a:stretch>
                      <a:fillRect/>
                    </a:stretch>
                  </pic:blipFill>
                  <pic:spPr>
                    <a:xfrm>
                      <a:off x="0" y="0"/>
                      <a:ext cx="7590155" cy="10735945"/>
                    </a:xfrm>
                    <a:prstGeom prst="rect">
                      <a:avLst/>
                    </a:prstGeom>
                  </pic:spPr>
                </pic:pic>
              </a:graphicData>
            </a:graphic>
          </wp:anchor>
        </w:drawing>
      </w:r>
    </w:p>
    <w:sectPr w:rsidR="00956FE6" w:rsidSect="00956FE6">
      <w:pgSz w:w="11906" w:h="16838"/>
      <w:pgMar w:top="2098" w:right="1474" w:bottom="1985" w:left="158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9059AA61-6739-4B52-9A36-985232A0AC3F}"/>
    <w:embedBold r:id="rId2" w:subsetted="1" w:fontKey="{223D3B90-760B-4328-B9E9-BF67EAB53BC5}"/>
  </w:font>
  <w:font w:name="楷体">
    <w:panose1 w:val="02010609060101010101"/>
    <w:charset w:val="86"/>
    <w:family w:val="modern"/>
    <w:pitch w:val="fixed"/>
    <w:sig w:usb0="800002BF" w:usb1="38CF7CFA" w:usb2="00000016" w:usb3="00000000" w:csb0="00040001" w:csb1="00000000"/>
    <w:embedBold r:id="rId3" w:subsetted="1" w:fontKey="{714C0316-9E7B-44E8-A386-D582F1E2F64E}"/>
  </w:font>
  <w:font w:name="仿宋_GB2312">
    <w:charset w:val="86"/>
    <w:family w:val="modern"/>
    <w:pitch w:val="default"/>
    <w:sig w:usb0="00000000" w:usb1="00000000" w:usb2="00000000" w:usb3="00000000" w:csb0="00000000" w:csb1="00000000"/>
    <w:embedRegular r:id="rId4" w:subsetted="1" w:fontKey="{F69AB9AD-E2B5-4205-B248-5E0D84248834}"/>
    <w:embedBold r:id="rId5" w:subsetted="1" w:fontKey="{5AD1D3F9-3209-43DB-99DB-304F6156829D}"/>
  </w:font>
  <w:font w:name="ArialUnicodeMS">
    <w:altName w:val="Malgun Gothic"/>
    <w:charset w:val="81"/>
    <w:family w:val="auto"/>
    <w:pitch w:val="default"/>
    <w:sig w:usb0="00000000" w:usb1="00000000" w:usb2="00000010" w:usb3="00000000" w:csb0="00080001" w:csb1="00000000"/>
  </w:font>
  <w:font w:name="仿宋">
    <w:panose1 w:val="02010609060101010101"/>
    <w:charset w:val="86"/>
    <w:family w:val="modern"/>
    <w:pitch w:val="fixed"/>
    <w:sig w:usb0="800002BF" w:usb1="38CF7CFA" w:usb2="00000016" w:usb3="00000000" w:csb0="00040001" w:csb1="00000000"/>
    <w:embedBold r:id="rId6" w:subsetted="1" w:fontKey="{6A5FA3B8-7FC2-4FAD-9155-F6D3699844E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DengXian-Regular">
    <w:altName w:val="宋体"/>
    <w:charset w:val="86"/>
    <w:family w:val="auto"/>
    <w:pitch w:val="default"/>
    <w:sig w:usb0="00000000" w:usb1="00000000" w:usb2="00000010" w:usb3="00000000" w:csb0="00040001" w:csb1="00000000"/>
  </w:font>
  <w:font w:name="楷体_GB2312">
    <w:charset w:val="86"/>
    <w:family w:val="modern"/>
    <w:pitch w:val="default"/>
    <w:sig w:usb0="00000000" w:usb1="00000000" w:usb2="00000000" w:usb3="00000000" w:csb0="00000000" w:csb1="00000000"/>
    <w:embedBold r:id="rId7" w:subsetted="1" w:fontKey="{B1BBA1AA-462B-4D3A-BC09-182DBA2CD524}"/>
  </w:font>
  <w:font w:name="DengXian-Bold">
    <w:altName w:val="宋体"/>
    <w:charset w:val="86"/>
    <w:family w:val="auto"/>
    <w:pitch w:val="default"/>
    <w:sig w:usb0="00000000" w:usb1="00000000" w:usb2="00000010" w:usb3="00000000" w:csb0="00040001" w:csb1="00000000"/>
  </w:font>
  <w:font w:name="TimesNewRomanPSMT">
    <w:altName w:val="Arial"/>
    <w:charset w:val="00"/>
    <w:family w:val="swiss"/>
    <w:pitch w:val="default"/>
    <w:sig w:usb0="00000000"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E84FB2"/>
    <w:multiLevelType w:val="singleLevel"/>
    <w:tmpl w:val="80E84FB2"/>
    <w:lvl w:ilvl="0">
      <w:start w:val="2"/>
      <w:numFmt w:val="chineseCounting"/>
      <w:suff w:val="nothing"/>
      <w:lvlText w:val="（%1）"/>
      <w:lvlJc w:val="left"/>
      <w:rPr>
        <w:rFonts w:hint="eastAsia"/>
      </w:rPr>
    </w:lvl>
  </w:abstractNum>
  <w:abstractNum w:abstractNumId="1">
    <w:nsid w:val="45DB9A87"/>
    <w:multiLevelType w:val="singleLevel"/>
    <w:tmpl w:val="45DB9A87"/>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C1413"/>
    <w:rsid w:val="00003C97"/>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4D3EDE"/>
    <w:rsid w:val="00530E34"/>
    <w:rsid w:val="00575922"/>
    <w:rsid w:val="005A6C90"/>
    <w:rsid w:val="005E3FB0"/>
    <w:rsid w:val="005F4B66"/>
    <w:rsid w:val="005F5208"/>
    <w:rsid w:val="00641318"/>
    <w:rsid w:val="0064405D"/>
    <w:rsid w:val="00695557"/>
    <w:rsid w:val="006D4EA7"/>
    <w:rsid w:val="0070012A"/>
    <w:rsid w:val="00704657"/>
    <w:rsid w:val="0070664B"/>
    <w:rsid w:val="007071B8"/>
    <w:rsid w:val="007414DE"/>
    <w:rsid w:val="007905A9"/>
    <w:rsid w:val="007E5500"/>
    <w:rsid w:val="007F055B"/>
    <w:rsid w:val="00811C2F"/>
    <w:rsid w:val="00833D46"/>
    <w:rsid w:val="00840A97"/>
    <w:rsid w:val="008C0149"/>
    <w:rsid w:val="008D5DED"/>
    <w:rsid w:val="008E25CA"/>
    <w:rsid w:val="008E2BA8"/>
    <w:rsid w:val="008F34FC"/>
    <w:rsid w:val="00907907"/>
    <w:rsid w:val="00944CD7"/>
    <w:rsid w:val="00956FE6"/>
    <w:rsid w:val="009831B2"/>
    <w:rsid w:val="009A1ABE"/>
    <w:rsid w:val="009E21A4"/>
    <w:rsid w:val="009F22C6"/>
    <w:rsid w:val="00A07E50"/>
    <w:rsid w:val="00A15397"/>
    <w:rsid w:val="00A35CE0"/>
    <w:rsid w:val="00A4462E"/>
    <w:rsid w:val="00A44AA4"/>
    <w:rsid w:val="00A61623"/>
    <w:rsid w:val="00A73A5E"/>
    <w:rsid w:val="00A84687"/>
    <w:rsid w:val="00AB0A0E"/>
    <w:rsid w:val="00AD3B6E"/>
    <w:rsid w:val="00B12117"/>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628DF"/>
    <w:rsid w:val="00DB35AF"/>
    <w:rsid w:val="00DD72D7"/>
    <w:rsid w:val="00DF5B88"/>
    <w:rsid w:val="00E0589E"/>
    <w:rsid w:val="00E241FA"/>
    <w:rsid w:val="00E2595E"/>
    <w:rsid w:val="00E35374"/>
    <w:rsid w:val="00E50C19"/>
    <w:rsid w:val="00E64655"/>
    <w:rsid w:val="00E73081"/>
    <w:rsid w:val="00E76549"/>
    <w:rsid w:val="00E856C9"/>
    <w:rsid w:val="00EB2C8A"/>
    <w:rsid w:val="00EB6A8B"/>
    <w:rsid w:val="00EF38C6"/>
    <w:rsid w:val="00F679C7"/>
    <w:rsid w:val="00F7711A"/>
    <w:rsid w:val="00FA0D58"/>
    <w:rsid w:val="00FA56F4"/>
    <w:rsid w:val="00FB4EDA"/>
    <w:rsid w:val="00FD3BD5"/>
    <w:rsid w:val="00FE3DC8"/>
    <w:rsid w:val="04073F84"/>
    <w:rsid w:val="04E969A7"/>
    <w:rsid w:val="092D4FE5"/>
    <w:rsid w:val="098469FB"/>
    <w:rsid w:val="0B60750A"/>
    <w:rsid w:val="0E380EE7"/>
    <w:rsid w:val="10686488"/>
    <w:rsid w:val="10DF728A"/>
    <w:rsid w:val="1264200E"/>
    <w:rsid w:val="141C5B77"/>
    <w:rsid w:val="17B33E7A"/>
    <w:rsid w:val="18D8339D"/>
    <w:rsid w:val="19506EA5"/>
    <w:rsid w:val="1A21388F"/>
    <w:rsid w:val="1A570D2F"/>
    <w:rsid w:val="1B1F79D0"/>
    <w:rsid w:val="23B470B5"/>
    <w:rsid w:val="27990F7E"/>
    <w:rsid w:val="28FB0B8D"/>
    <w:rsid w:val="2A7E431B"/>
    <w:rsid w:val="2B2F0A3D"/>
    <w:rsid w:val="2BA013F5"/>
    <w:rsid w:val="2C174921"/>
    <w:rsid w:val="2D2B7942"/>
    <w:rsid w:val="2D46481D"/>
    <w:rsid w:val="2E4A0F81"/>
    <w:rsid w:val="2E4F6C9A"/>
    <w:rsid w:val="2E733B28"/>
    <w:rsid w:val="30FA3734"/>
    <w:rsid w:val="31852B5A"/>
    <w:rsid w:val="32D01238"/>
    <w:rsid w:val="3627653F"/>
    <w:rsid w:val="3AA172F8"/>
    <w:rsid w:val="3CA72E65"/>
    <w:rsid w:val="3DFC59A8"/>
    <w:rsid w:val="3ECF245E"/>
    <w:rsid w:val="3FB96314"/>
    <w:rsid w:val="43506C2B"/>
    <w:rsid w:val="43DD2DDD"/>
    <w:rsid w:val="44563850"/>
    <w:rsid w:val="49E8163C"/>
    <w:rsid w:val="4CEF6542"/>
    <w:rsid w:val="52DF1F0D"/>
    <w:rsid w:val="53A44FAF"/>
    <w:rsid w:val="55366B2D"/>
    <w:rsid w:val="553C0AA2"/>
    <w:rsid w:val="5693352A"/>
    <w:rsid w:val="594329EC"/>
    <w:rsid w:val="5A7A7D12"/>
    <w:rsid w:val="5B876F2D"/>
    <w:rsid w:val="5BEE1540"/>
    <w:rsid w:val="5DE61A5D"/>
    <w:rsid w:val="5E5C19AD"/>
    <w:rsid w:val="60031C60"/>
    <w:rsid w:val="62B67D1D"/>
    <w:rsid w:val="63C04243"/>
    <w:rsid w:val="649C01C7"/>
    <w:rsid w:val="694631BB"/>
    <w:rsid w:val="699A3F60"/>
    <w:rsid w:val="6ECA2B06"/>
    <w:rsid w:val="72902E62"/>
    <w:rsid w:val="735C52EC"/>
    <w:rsid w:val="73C61104"/>
    <w:rsid w:val="776452EA"/>
    <w:rsid w:val="7C073750"/>
    <w:rsid w:val="7DC13EAE"/>
    <w:rsid w:val="7DC663B9"/>
    <w:rsid w:val="7FD210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1"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56FE6"/>
    <w:pPr>
      <w:widowControl w:val="0"/>
      <w:spacing w:after="160" w:line="480" w:lineRule="auto"/>
      <w:jc w:val="both"/>
    </w:pPr>
    <w:rPr>
      <w:kern w:val="2"/>
      <w:sz w:val="21"/>
      <w:szCs w:val="24"/>
    </w:rPr>
  </w:style>
  <w:style w:type="paragraph" w:styleId="10">
    <w:name w:val="heading 1"/>
    <w:basedOn w:val="a"/>
    <w:next w:val="a"/>
    <w:link w:val="1Char"/>
    <w:uiPriority w:val="9"/>
    <w:qFormat/>
    <w:rsid w:val="00956FE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56FE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56FE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956FE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纯文本1"/>
    <w:basedOn w:val="a"/>
    <w:uiPriority w:val="99"/>
    <w:qFormat/>
    <w:rsid w:val="00956FE6"/>
    <w:rPr>
      <w:rFonts w:ascii="宋体" w:eastAsia="Times New Roman" w:hAnsi="Courier New" w:cs="宋体"/>
    </w:rPr>
  </w:style>
  <w:style w:type="paragraph" w:styleId="a3">
    <w:name w:val="Date"/>
    <w:basedOn w:val="a"/>
    <w:next w:val="a"/>
    <w:link w:val="Char"/>
    <w:uiPriority w:val="99"/>
    <w:semiHidden/>
    <w:unhideWhenUsed/>
    <w:qFormat/>
    <w:rsid w:val="00956FE6"/>
    <w:pPr>
      <w:ind w:leftChars="2500" w:left="100"/>
    </w:pPr>
  </w:style>
  <w:style w:type="paragraph" w:styleId="a4">
    <w:name w:val="Balloon Text"/>
    <w:basedOn w:val="a"/>
    <w:link w:val="Char0"/>
    <w:uiPriority w:val="99"/>
    <w:semiHidden/>
    <w:unhideWhenUsed/>
    <w:qFormat/>
    <w:rsid w:val="00956FE6"/>
    <w:rPr>
      <w:sz w:val="18"/>
      <w:szCs w:val="18"/>
    </w:rPr>
  </w:style>
  <w:style w:type="paragraph" w:styleId="a5">
    <w:name w:val="footer"/>
    <w:basedOn w:val="a"/>
    <w:link w:val="Char1"/>
    <w:uiPriority w:val="99"/>
    <w:unhideWhenUsed/>
    <w:qFormat/>
    <w:rsid w:val="00956FE6"/>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qFormat/>
    <w:rsid w:val="00956FE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Subtitle"/>
    <w:basedOn w:val="a"/>
    <w:next w:val="a"/>
    <w:link w:val="Char3"/>
    <w:uiPriority w:val="11"/>
    <w:qFormat/>
    <w:rsid w:val="00956FE6"/>
    <w:pPr>
      <w:widowControl/>
      <w:spacing w:after="200" w:line="276" w:lineRule="auto"/>
      <w:jc w:val="left"/>
    </w:pPr>
    <w:rPr>
      <w:rFonts w:asciiTheme="majorHAnsi" w:eastAsiaTheme="majorEastAsia" w:hAnsiTheme="majorHAnsi" w:cstheme="majorBidi"/>
      <w:i/>
      <w:iCs/>
      <w:color w:val="F0A22E" w:themeColor="accent1"/>
      <w:spacing w:val="15"/>
      <w:kern w:val="0"/>
      <w:sz w:val="24"/>
    </w:rPr>
  </w:style>
  <w:style w:type="paragraph" w:styleId="a8">
    <w:name w:val="Title"/>
    <w:basedOn w:val="a"/>
    <w:next w:val="a"/>
    <w:link w:val="Char4"/>
    <w:uiPriority w:val="10"/>
    <w:qFormat/>
    <w:rsid w:val="00956FE6"/>
    <w:pPr>
      <w:widowControl/>
      <w:pBdr>
        <w:bottom w:val="single" w:sz="8" w:space="4" w:color="F0A22E" w:themeColor="accent1"/>
      </w:pBdr>
      <w:spacing w:after="300"/>
      <w:contextualSpacing/>
      <w:jc w:val="left"/>
    </w:pPr>
    <w:rPr>
      <w:rFonts w:asciiTheme="majorHAnsi" w:eastAsiaTheme="majorEastAsia" w:hAnsiTheme="majorHAnsi" w:cstheme="majorBidi"/>
      <w:color w:val="3A2C24" w:themeColor="text2" w:themeShade="BF"/>
      <w:spacing w:val="5"/>
      <w:kern w:val="28"/>
      <w:sz w:val="52"/>
      <w:szCs w:val="52"/>
    </w:rPr>
  </w:style>
  <w:style w:type="table" w:styleId="a9">
    <w:name w:val="Table Grid"/>
    <w:basedOn w:val="a1"/>
    <w:uiPriority w:val="1"/>
    <w:qFormat/>
    <w:rsid w:val="00956FE6"/>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6"/>
    <w:uiPriority w:val="99"/>
    <w:qFormat/>
    <w:rsid w:val="00956FE6"/>
    <w:rPr>
      <w:sz w:val="18"/>
      <w:szCs w:val="18"/>
    </w:rPr>
  </w:style>
  <w:style w:type="character" w:customStyle="1" w:styleId="Char1">
    <w:name w:val="页脚 Char"/>
    <w:basedOn w:val="a0"/>
    <w:link w:val="a5"/>
    <w:uiPriority w:val="99"/>
    <w:qFormat/>
    <w:rsid w:val="00956FE6"/>
    <w:rPr>
      <w:sz w:val="18"/>
      <w:szCs w:val="18"/>
    </w:rPr>
  </w:style>
  <w:style w:type="paragraph" w:styleId="aa">
    <w:name w:val="No Spacing"/>
    <w:link w:val="Char5"/>
    <w:uiPriority w:val="1"/>
    <w:qFormat/>
    <w:rsid w:val="00956FE6"/>
    <w:pPr>
      <w:spacing w:after="160" w:line="480" w:lineRule="auto"/>
    </w:pPr>
    <w:rPr>
      <w:rFonts w:asciiTheme="minorHAnsi" w:eastAsiaTheme="minorEastAsia" w:hAnsiTheme="minorHAnsi" w:cstheme="minorBidi"/>
      <w:sz w:val="22"/>
      <w:szCs w:val="22"/>
    </w:rPr>
  </w:style>
  <w:style w:type="character" w:customStyle="1" w:styleId="Char5">
    <w:name w:val="无间隔 Char"/>
    <w:basedOn w:val="a0"/>
    <w:link w:val="aa"/>
    <w:uiPriority w:val="1"/>
    <w:qFormat/>
    <w:rsid w:val="00956FE6"/>
    <w:rPr>
      <w:kern w:val="0"/>
      <w:sz w:val="22"/>
    </w:rPr>
  </w:style>
  <w:style w:type="character" w:customStyle="1" w:styleId="Char0">
    <w:name w:val="批注框文本 Char"/>
    <w:basedOn w:val="a0"/>
    <w:link w:val="a4"/>
    <w:uiPriority w:val="99"/>
    <w:semiHidden/>
    <w:qFormat/>
    <w:rsid w:val="00956FE6"/>
    <w:rPr>
      <w:rFonts w:ascii="Times New Roman" w:eastAsia="宋体" w:hAnsi="Times New Roman" w:cs="Times New Roman"/>
      <w:sz w:val="18"/>
      <w:szCs w:val="18"/>
    </w:rPr>
  </w:style>
  <w:style w:type="character" w:customStyle="1" w:styleId="Char4">
    <w:name w:val="标题 Char"/>
    <w:basedOn w:val="a0"/>
    <w:link w:val="a8"/>
    <w:uiPriority w:val="10"/>
    <w:qFormat/>
    <w:rsid w:val="00956FE6"/>
    <w:rPr>
      <w:rFonts w:asciiTheme="majorHAnsi" w:eastAsiaTheme="majorEastAsia" w:hAnsiTheme="majorHAnsi" w:cstheme="majorBidi"/>
      <w:color w:val="3A2C24" w:themeColor="text2" w:themeShade="BF"/>
      <w:spacing w:val="5"/>
      <w:kern w:val="28"/>
      <w:sz w:val="52"/>
      <w:szCs w:val="52"/>
    </w:rPr>
  </w:style>
  <w:style w:type="character" w:customStyle="1" w:styleId="Char3">
    <w:name w:val="副标题 Char"/>
    <w:basedOn w:val="a0"/>
    <w:link w:val="a7"/>
    <w:uiPriority w:val="11"/>
    <w:qFormat/>
    <w:rsid w:val="00956FE6"/>
    <w:rPr>
      <w:rFonts w:asciiTheme="majorHAnsi" w:eastAsiaTheme="majorEastAsia" w:hAnsiTheme="majorHAnsi" w:cstheme="majorBidi"/>
      <w:i/>
      <w:iCs/>
      <w:color w:val="F0A22E" w:themeColor="accent1"/>
      <w:spacing w:val="15"/>
      <w:kern w:val="0"/>
      <w:sz w:val="24"/>
      <w:szCs w:val="24"/>
    </w:rPr>
  </w:style>
  <w:style w:type="character" w:customStyle="1" w:styleId="Style1">
    <w:name w:val="Style1"/>
    <w:basedOn w:val="a0"/>
    <w:uiPriority w:val="1"/>
    <w:qFormat/>
    <w:rsid w:val="00956FE6"/>
    <w:rPr>
      <w:rFonts w:asciiTheme="minorHAnsi" w:eastAsiaTheme="minorEastAsia" w:hAnsiTheme="minorEastAsia" w:cstheme="minorBidi"/>
      <w:sz w:val="22"/>
      <w:szCs w:val="22"/>
      <w:lang w:eastAsia="zh-CN"/>
    </w:rPr>
  </w:style>
  <w:style w:type="character" w:customStyle="1" w:styleId="Style2">
    <w:name w:val="Style2"/>
    <w:basedOn w:val="a0"/>
    <w:uiPriority w:val="1"/>
    <w:qFormat/>
    <w:rsid w:val="00956FE6"/>
    <w:rPr>
      <w:rFonts w:asciiTheme="minorHAnsi" w:eastAsiaTheme="minorEastAsia" w:hAnsiTheme="minorEastAsia" w:cstheme="minorBidi"/>
      <w:sz w:val="22"/>
      <w:szCs w:val="22"/>
      <w:lang w:eastAsia="zh-CN"/>
    </w:rPr>
  </w:style>
  <w:style w:type="character" w:customStyle="1" w:styleId="Style3">
    <w:name w:val="Style3"/>
    <w:basedOn w:val="a0"/>
    <w:uiPriority w:val="1"/>
    <w:qFormat/>
    <w:rsid w:val="00956FE6"/>
    <w:rPr>
      <w:rFonts w:asciiTheme="minorHAnsi" w:eastAsiaTheme="minorEastAsia" w:hAnsiTheme="minorEastAsia" w:cstheme="minorBidi"/>
      <w:szCs w:val="22"/>
      <w:lang w:eastAsia="zh-CN"/>
    </w:rPr>
  </w:style>
  <w:style w:type="character" w:customStyle="1" w:styleId="Style4">
    <w:name w:val="Style4"/>
    <w:basedOn w:val="a0"/>
    <w:uiPriority w:val="1"/>
    <w:qFormat/>
    <w:rsid w:val="00956FE6"/>
    <w:rPr>
      <w:rFonts w:asciiTheme="minorHAnsi" w:eastAsiaTheme="minorEastAsia" w:hAnsiTheme="minorEastAsia" w:cstheme="minorBidi"/>
      <w:szCs w:val="22"/>
      <w:lang w:eastAsia="zh-CN"/>
    </w:rPr>
  </w:style>
  <w:style w:type="character" w:customStyle="1" w:styleId="Style5">
    <w:name w:val="Style5"/>
    <w:basedOn w:val="a0"/>
    <w:uiPriority w:val="1"/>
    <w:qFormat/>
    <w:rsid w:val="00956FE6"/>
    <w:rPr>
      <w:rFonts w:asciiTheme="minorHAnsi" w:eastAsiaTheme="minorEastAsia" w:hAnsiTheme="minorEastAsia" w:cstheme="minorBidi"/>
      <w:sz w:val="22"/>
      <w:szCs w:val="22"/>
      <w:lang w:eastAsia="zh-CN"/>
    </w:rPr>
  </w:style>
  <w:style w:type="character" w:customStyle="1" w:styleId="1Char">
    <w:name w:val="标题 1 Char"/>
    <w:basedOn w:val="a0"/>
    <w:link w:val="10"/>
    <w:uiPriority w:val="9"/>
    <w:qFormat/>
    <w:rsid w:val="00956FE6"/>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956FE6"/>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956FE6"/>
    <w:rPr>
      <w:rFonts w:ascii="Times New Roman" w:eastAsia="宋体" w:hAnsi="Times New Roman" w:cs="Times New Roman"/>
      <w:b/>
      <w:bCs/>
      <w:sz w:val="32"/>
      <w:szCs w:val="32"/>
    </w:rPr>
  </w:style>
  <w:style w:type="character" w:customStyle="1" w:styleId="4Char">
    <w:name w:val="标题 4 Char"/>
    <w:basedOn w:val="a0"/>
    <w:link w:val="4"/>
    <w:uiPriority w:val="9"/>
    <w:qFormat/>
    <w:rsid w:val="00956FE6"/>
    <w:rPr>
      <w:rFonts w:asciiTheme="majorHAnsi" w:eastAsiaTheme="majorEastAsia" w:hAnsiTheme="majorHAnsi" w:cstheme="majorBidi"/>
      <w:b/>
      <w:bCs/>
      <w:sz w:val="28"/>
      <w:szCs w:val="28"/>
    </w:rPr>
  </w:style>
  <w:style w:type="character" w:customStyle="1" w:styleId="Char">
    <w:name w:val="日期 Char"/>
    <w:basedOn w:val="a0"/>
    <w:link w:val="a3"/>
    <w:uiPriority w:val="99"/>
    <w:semiHidden/>
    <w:qFormat/>
    <w:rsid w:val="00956FE6"/>
    <w:rPr>
      <w:rFonts w:ascii="Times New Roman" w:eastAsia="宋体" w:hAnsi="Times New Roman" w:cs="Times New Roman"/>
      <w:szCs w:val="24"/>
    </w:rPr>
  </w:style>
  <w:style w:type="paragraph" w:styleId="ab">
    <w:name w:val="List Paragraph"/>
    <w:basedOn w:val="a"/>
    <w:uiPriority w:val="99"/>
    <w:unhideWhenUsed/>
    <w:qFormat/>
    <w:rsid w:val="00956FE6"/>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chart" Target="charts/chart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1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收入决算情况</a:t>
            </a:r>
          </a:p>
        </c:rich>
      </c:tx>
      <c:spPr>
        <a:noFill/>
        <a:ln>
          <a:noFill/>
        </a:ln>
        <a:effectLst/>
      </c:spPr>
    </c:title>
    <c:plotArea>
      <c:layout/>
      <c:pieChart>
        <c:varyColors val="1"/>
        <c:ser>
          <c:idx val="0"/>
          <c:order val="0"/>
          <c:tx>
            <c:strRef>
              <c:f>Sheet1!$B$1</c:f>
              <c:strCache>
                <c:ptCount val="1"/>
                <c:pt idx="0">
                  <c:v>销售额</c:v>
                </c:pt>
              </c:strCache>
            </c:strRef>
          </c:tx>
          <c:dPt>
            <c:idx val="0"/>
            <c:spPr>
              <a:solidFill>
                <a:schemeClr val="accent1">
                  <a:tint val="100000"/>
                  <a:shade val="100000"/>
                  <a:hueMod val="100000"/>
                  <a:satMod val="100000"/>
                </a:schemeClr>
              </a:solidFill>
              <a:ln w="19050">
                <a:solidFill>
                  <a:schemeClr val="lt1"/>
                </a:solidFill>
              </a:ln>
              <a:effectLst/>
            </c:spPr>
          </c:dPt>
          <c:dPt>
            <c:idx val="1"/>
            <c:spPr>
              <a:solidFill>
                <a:schemeClr val="accent2">
                  <a:tint val="100000"/>
                  <a:shade val="100000"/>
                  <a:hueMod val="100000"/>
                  <a:satMod val="100000"/>
                </a:schemeClr>
              </a:solidFill>
              <a:ln w="19050">
                <a:solidFill>
                  <a:schemeClr val="lt1"/>
                </a:solidFill>
              </a:ln>
              <a:effectLst/>
            </c:spPr>
          </c:dPt>
          <c:dPt>
            <c:idx val="2"/>
            <c:spPr>
              <a:solidFill>
                <a:schemeClr val="accent3">
                  <a:tint val="100000"/>
                  <a:shade val="100000"/>
                  <a:hueMod val="100000"/>
                  <a:satMod val="100000"/>
                </a:schemeClr>
              </a:solidFill>
              <a:ln w="19050">
                <a:solidFill>
                  <a:schemeClr val="lt1"/>
                </a:solidFill>
              </a:ln>
              <a:effectLst/>
            </c:spPr>
          </c:dPt>
          <c:cat>
            <c:strRef>
              <c:f>Sheet1!$A$2:$A$4</c:f>
              <c:strCache>
                <c:ptCount val="3"/>
                <c:pt idx="0">
                  <c:v>财政拨款</c:v>
                </c:pt>
                <c:pt idx="1">
                  <c:v>其他收入</c:v>
                </c:pt>
              </c:strCache>
            </c:strRef>
          </c:cat>
          <c:val>
            <c:numRef>
              <c:f>Sheet1!$B$2:$B$4</c:f>
              <c:numCache>
                <c:formatCode>General</c:formatCode>
                <c:ptCount val="3"/>
                <c:pt idx="0">
                  <c:v>99.92</c:v>
                </c:pt>
                <c:pt idx="1">
                  <c:v>8.0000000000000029E-2</c:v>
                </c:pt>
              </c:numCache>
            </c:numRef>
          </c:val>
        </c:ser>
        <c:firstSliceAng val="0"/>
      </c:pieChart>
      <c:spPr>
        <a:noFill/>
        <a:ln>
          <a:noFill/>
        </a:ln>
        <a:effectLst/>
      </c:spPr>
    </c:plotArea>
    <c:legend>
      <c:legendPos val="b"/>
      <c:legendEntry>
        <c:idx val="2"/>
        <c:delete val="1"/>
      </c:legendEntry>
      <c:layout>
        <c:manualLayout>
          <c:xMode val="edge"/>
          <c:yMode val="edge"/>
          <c:x val="0.188855721393035"/>
          <c:y val="0.85420560747663621"/>
          <c:w val="0.53512437810945301"/>
          <c:h val="8.8918558077436621E-2"/>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支出结构情况</a:t>
            </a:r>
          </a:p>
        </c:rich>
      </c:tx>
      <c:layout>
        <c:manualLayout>
          <c:xMode val="edge"/>
          <c:yMode val="edge"/>
          <c:x val="0.37211248744559811"/>
          <c:y val="5.261619409529382E-2"/>
        </c:manualLayout>
      </c:layout>
      <c:spPr>
        <a:noFill/>
        <a:ln>
          <a:noFill/>
        </a:ln>
        <a:effectLst/>
      </c:spPr>
    </c:title>
    <c:plotArea>
      <c:layout/>
      <c:pieChart>
        <c:varyColors val="1"/>
        <c:ser>
          <c:idx val="0"/>
          <c:order val="0"/>
          <c:tx>
            <c:strRef>
              <c:f>Sheet1!$B$1</c:f>
              <c:strCache>
                <c:ptCount val="1"/>
                <c:pt idx="0">
                  <c:v>销售额</c:v>
                </c:pt>
              </c:strCache>
            </c:strRef>
          </c:tx>
          <c:dPt>
            <c:idx val="0"/>
            <c:spPr>
              <a:solidFill>
                <a:schemeClr val="accent1">
                  <a:tint val="100000"/>
                  <a:shade val="100000"/>
                  <a:hueMod val="100000"/>
                  <a:satMod val="100000"/>
                </a:schemeClr>
              </a:solidFill>
              <a:ln w="19050">
                <a:solidFill>
                  <a:schemeClr val="lt1"/>
                </a:solidFill>
              </a:ln>
              <a:effectLst/>
            </c:spPr>
          </c:dPt>
          <c:dPt>
            <c:idx val="1"/>
            <c:spPr>
              <a:solidFill>
                <a:schemeClr val="accent2">
                  <a:tint val="100000"/>
                  <a:shade val="100000"/>
                  <a:hueMod val="100000"/>
                  <a:satMod val="100000"/>
                </a:schemeClr>
              </a:solidFill>
              <a:ln w="19050">
                <a:solidFill>
                  <a:schemeClr val="lt1"/>
                </a:solidFill>
              </a:ln>
              <a:effectLst/>
            </c:spPr>
          </c:dPt>
          <c:cat>
            <c:strRef>
              <c:f>Sheet1!$A$2:$A$3</c:f>
              <c:strCache>
                <c:ptCount val="2"/>
                <c:pt idx="0">
                  <c:v>基本支出</c:v>
                </c:pt>
                <c:pt idx="1">
                  <c:v>项目支出</c:v>
                </c:pt>
              </c:strCache>
            </c:strRef>
          </c:cat>
          <c:val>
            <c:numRef>
              <c:f>Sheet1!$B$2:$B$3</c:f>
              <c:numCache>
                <c:formatCode>General</c:formatCode>
                <c:ptCount val="2"/>
                <c:pt idx="0">
                  <c:v>82.6</c:v>
                </c:pt>
                <c:pt idx="1">
                  <c:v>17.399999999999999</c:v>
                </c:pt>
              </c:numCache>
            </c:numRef>
          </c:val>
        </c:ser>
        <c:firstSliceAng val="0"/>
      </c:pie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title>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4.8174386920980909E-2"/>
          <c:y val="0.14941176470588205"/>
          <c:w val="0.92021798365122576"/>
          <c:h val="0.66733333333333322"/>
        </c:manualLayout>
      </c:layout>
      <c:barChart>
        <c:barDir val="col"/>
        <c:grouping val="clustered"/>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cat>
            <c:strRef>
              <c:f>Sheet1!$A$2:$A$5</c:f>
              <c:strCache>
                <c:ptCount val="4"/>
                <c:pt idx="0">
                  <c:v>2017年收入</c:v>
                </c:pt>
                <c:pt idx="1">
                  <c:v>2017年支出</c:v>
                </c:pt>
                <c:pt idx="2">
                  <c:v>2018年收入</c:v>
                </c:pt>
                <c:pt idx="3">
                  <c:v>2018年支出</c:v>
                </c:pt>
              </c:strCache>
            </c:strRef>
          </c:cat>
          <c:val>
            <c:numRef>
              <c:f>Sheet1!$B$2:$B$5</c:f>
              <c:numCache>
                <c:formatCode>General</c:formatCode>
                <c:ptCount val="4"/>
                <c:pt idx="0">
                  <c:v>2319.6999999999998</c:v>
                </c:pt>
                <c:pt idx="1">
                  <c:v>2182.2399999999998</c:v>
                </c:pt>
                <c:pt idx="2">
                  <c:v>2287.8300000000008</c:v>
                </c:pt>
                <c:pt idx="3">
                  <c:v>2324.56</c:v>
                </c:pt>
              </c:numCache>
            </c:numRef>
          </c:val>
        </c:ser>
        <c:ser>
          <c:idx val="1"/>
          <c:order val="1"/>
          <c:tx>
            <c:strRef>
              <c:f>Sheet1!#REF!</c:f>
              <c:strCache>
                <c:ptCount val="1"/>
              </c:strCache>
            </c:strRef>
          </c:tx>
          <c:spPr>
            <a:solidFill>
              <a:schemeClr val="accent2">
                <a:tint val="100000"/>
                <a:shade val="100000"/>
                <a:hueMod val="100000"/>
                <a:satMod val="100000"/>
              </a:schemeClr>
            </a:solidFill>
            <a:ln>
              <a:noFill/>
            </a:ln>
            <a:effectLst/>
          </c:spPr>
          <c:cat>
            <c:strRef>
              <c:f>Sheet1!$A$2:$A$5</c:f>
              <c:strCache>
                <c:ptCount val="4"/>
                <c:pt idx="0">
                  <c:v>2017年收入</c:v>
                </c:pt>
                <c:pt idx="1">
                  <c:v>2017年支出</c:v>
                </c:pt>
                <c:pt idx="2">
                  <c:v>2018年收入</c:v>
                </c:pt>
                <c:pt idx="3">
                  <c:v>2018年支出</c:v>
                </c:pt>
              </c:strCache>
            </c:strRef>
          </c:cat>
          <c:val>
            <c:numRef>
              <c:f>Sheet1!#REF!</c:f>
              <c:numCache>
                <c:formatCode>General</c:formatCode>
                <c:ptCount val="1"/>
                <c:pt idx="0">
                  <c:v>1</c:v>
                </c:pt>
              </c:numCache>
            </c:numRef>
          </c:val>
        </c:ser>
        <c:ser>
          <c:idx val="2"/>
          <c:order val="2"/>
          <c:tx>
            <c:strRef>
              <c:f>Sheet1!#REF!</c:f>
              <c:strCache>
                <c:ptCount val="1"/>
              </c:strCache>
            </c:strRef>
          </c:tx>
          <c:spPr>
            <a:solidFill>
              <a:schemeClr val="accent3">
                <a:tint val="100000"/>
                <a:shade val="100000"/>
                <a:hueMod val="100000"/>
                <a:satMod val="100000"/>
              </a:schemeClr>
            </a:solidFill>
            <a:ln>
              <a:noFill/>
            </a:ln>
            <a:effectLst/>
          </c:spPr>
          <c:cat>
            <c:strRef>
              <c:f>Sheet1!$A$2:$A$5</c:f>
              <c:strCache>
                <c:ptCount val="4"/>
                <c:pt idx="0">
                  <c:v>2017年收入</c:v>
                </c:pt>
                <c:pt idx="1">
                  <c:v>2017年支出</c:v>
                </c:pt>
                <c:pt idx="2">
                  <c:v>2018年收入</c:v>
                </c:pt>
                <c:pt idx="3">
                  <c:v>2018年支出</c:v>
                </c:pt>
              </c:strCache>
            </c:strRef>
          </c:cat>
          <c:val>
            <c:numRef>
              <c:f>Sheet1!#REF!</c:f>
              <c:numCache>
                <c:formatCode>General</c:formatCode>
                <c:ptCount val="1"/>
                <c:pt idx="0">
                  <c:v>1</c:v>
                </c:pt>
              </c:numCache>
            </c:numRef>
          </c:val>
        </c:ser>
        <c:gapWidth val="219"/>
        <c:overlap val="-27"/>
        <c:axId val="241970560"/>
        <c:axId val="241976448"/>
      </c:barChart>
      <c:catAx>
        <c:axId val="24197056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1976448"/>
        <c:crosses val="autoZero"/>
        <c:auto val="1"/>
        <c:lblAlgn val="ctr"/>
        <c:lblOffset val="100"/>
      </c:catAx>
      <c:valAx>
        <c:axId val="241976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19705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zh-CN"/>
  <c:chart>
    <c:title>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barChart>
        <c:barDir val="col"/>
        <c:grouping val="clustered"/>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2287.8300000000008</c:v>
                </c:pt>
                <c:pt idx="1">
                  <c:v>2287.8300000000008</c:v>
                </c:pt>
                <c:pt idx="2">
                  <c:v>2324.56</c:v>
                </c:pt>
                <c:pt idx="3">
                  <c:v>2324.56</c:v>
                </c:pt>
              </c:numCache>
            </c:numRef>
          </c:val>
        </c:ser>
        <c:gapWidth val="219"/>
        <c:overlap val="-27"/>
        <c:axId val="241988352"/>
        <c:axId val="241989888"/>
      </c:barChart>
      <c:catAx>
        <c:axId val="24198835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1989888"/>
        <c:crosses val="autoZero"/>
        <c:auto val="1"/>
        <c:lblAlgn val="ctr"/>
        <c:lblOffset val="100"/>
      </c:catAx>
      <c:valAx>
        <c:axId val="241989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198835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财政拨款支出决算结构情况</a:t>
            </a:r>
          </a:p>
        </c:rich>
      </c:tx>
      <c:layout>
        <c:manualLayout>
          <c:xMode val="edge"/>
          <c:yMode val="edge"/>
          <c:x val="0.2823050058207221"/>
          <c:y val="6.5359477124182982E-2"/>
        </c:manualLayout>
      </c:layout>
      <c:spPr>
        <a:noFill/>
        <a:ln>
          <a:noFill/>
        </a:ln>
        <a:effectLst/>
      </c:spPr>
    </c:title>
    <c:plotArea>
      <c:layout/>
      <c:pieChart>
        <c:varyColors val="1"/>
        <c:ser>
          <c:idx val="0"/>
          <c:order val="0"/>
          <c:tx>
            <c:strRef>
              <c:f>Sheet1!$B$1</c:f>
              <c:strCache>
                <c:ptCount val="1"/>
                <c:pt idx="0">
                  <c:v>销售额</c:v>
                </c:pt>
              </c:strCache>
            </c:strRef>
          </c:tx>
          <c:dPt>
            <c:idx val="0"/>
            <c:spPr>
              <a:solidFill>
                <a:schemeClr val="accent1">
                  <a:tint val="100000"/>
                  <a:shade val="100000"/>
                  <a:hueMod val="100000"/>
                  <a:satMod val="100000"/>
                </a:schemeClr>
              </a:solidFill>
              <a:ln w="19050">
                <a:solidFill>
                  <a:schemeClr val="lt1"/>
                </a:solidFill>
              </a:ln>
              <a:effectLst/>
            </c:spPr>
          </c:dPt>
          <c:dPt>
            <c:idx val="1"/>
            <c:spPr>
              <a:solidFill>
                <a:schemeClr val="accent2">
                  <a:tint val="100000"/>
                  <a:shade val="100000"/>
                  <a:hueMod val="100000"/>
                  <a:satMod val="100000"/>
                </a:schemeClr>
              </a:solidFill>
              <a:ln w="19050">
                <a:solidFill>
                  <a:schemeClr val="lt1"/>
                </a:solidFill>
              </a:ln>
              <a:effectLst/>
            </c:spPr>
          </c:dPt>
          <c:cat>
            <c:strRef>
              <c:f>Sheet1!$A$2:$A$3</c:f>
              <c:strCache>
                <c:ptCount val="2"/>
                <c:pt idx="0">
                  <c:v>一般公共服务</c:v>
                </c:pt>
                <c:pt idx="1">
                  <c:v>医疗卫生与计划生育</c:v>
                </c:pt>
              </c:strCache>
            </c:strRef>
          </c:cat>
          <c:val>
            <c:numRef>
              <c:f>Sheet1!$B$2:$B$3</c:f>
              <c:numCache>
                <c:formatCode>General</c:formatCode>
                <c:ptCount val="2"/>
                <c:pt idx="0">
                  <c:v>86.57</c:v>
                </c:pt>
                <c:pt idx="1">
                  <c:v>13.43</c:v>
                </c:pt>
              </c:numCache>
            </c:numRef>
          </c:val>
        </c:ser>
        <c:firstSliceAng val="0"/>
      </c:pie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10"/>
    <customShpInfo spid="_x0000_s1109"/>
    <customShpInfo spid="_x0000_s1026"/>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111"/>
    <customShpInfo spid="_x0000_s1112"/>
    <customShpInfo spid="_x0000_s1113"/>
    <customShpInfo spid="_x0000_s1114"/>
    <customShpInfo spid="_x0000_s1115"/>
    <customShpInfo spid="_x0000_s1116"/>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A8DE642-EEB6-4BD4-9C3E-5368667F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32</Pages>
  <Words>1845</Words>
  <Characters>10522</Characters>
  <Application>Microsoft Office Word</Application>
  <DocSecurity>0</DocSecurity>
  <Lines>87</Lines>
  <Paragraphs>24</Paragraphs>
  <ScaleCrop>false</ScaleCrop>
  <Company>Microsoft</Company>
  <LinksUpToDate>false</LinksUpToDate>
  <CharactersWithSpaces>12343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guest</cp:lastModifiedBy>
  <cp:revision>60</cp:revision>
  <cp:lastPrinted>2019-10-15T06:00:00Z</cp:lastPrinted>
  <dcterms:created xsi:type="dcterms:W3CDTF">2019-08-01T09:15:00Z</dcterms:created>
  <dcterms:modified xsi:type="dcterms:W3CDTF">2021-06-22T01:50:00Z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y fmtid="{D5CDD505-2E9C-101B-9397-08002B2CF9AE}" pid="3" name="ICV">
    <vt:lpwstr>C19CA20B7B5E40C5ADF2A39F9A6BCBCA</vt:lpwstr>
  </property>
</Properties>
</file>